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F058" w14:textId="77777777" w:rsidR="000D3102" w:rsidRPr="0089619C" w:rsidRDefault="000D3102" w:rsidP="000D3102">
      <w:pPr>
        <w:pStyle w:val="DefaultText"/>
        <w:jc w:val="center"/>
        <w:rPr>
          <w:rStyle w:val="InitialStyle"/>
          <w:rFonts w:ascii="Arial" w:hAnsi="Arial" w:cs="Arial"/>
          <w:b/>
          <w:sz w:val="24"/>
          <w:szCs w:val="24"/>
        </w:rPr>
      </w:pPr>
      <w:r w:rsidRPr="0089619C">
        <w:rPr>
          <w:rStyle w:val="InitialStyle"/>
          <w:rFonts w:ascii="Arial" w:hAnsi="Arial" w:cs="Arial"/>
          <w:sz w:val="24"/>
          <w:szCs w:val="24"/>
        </w:rPr>
        <w:t>RIDER D</w:t>
      </w:r>
    </w:p>
    <w:p w14:paraId="7BE68EE6" w14:textId="4964D661" w:rsidR="00377101" w:rsidRDefault="000D3102" w:rsidP="000D3102">
      <w:pPr>
        <w:spacing w:after="0"/>
        <w:jc w:val="center"/>
        <w:rPr>
          <w:rStyle w:val="InitialStyle"/>
          <w:rFonts w:ascii="Arial" w:hAnsi="Arial" w:cs="Arial"/>
          <w:b/>
          <w:sz w:val="24"/>
          <w:szCs w:val="24"/>
        </w:rPr>
      </w:pPr>
      <w:r w:rsidRPr="0089619C">
        <w:rPr>
          <w:rStyle w:val="InitialStyle"/>
          <w:rFonts w:ascii="Arial" w:hAnsi="Arial" w:cs="Arial"/>
          <w:sz w:val="24"/>
          <w:szCs w:val="24"/>
        </w:rPr>
        <w:t xml:space="preserve">ADDITIONAL </w:t>
      </w:r>
      <w:r w:rsidR="00E32327">
        <w:rPr>
          <w:rStyle w:val="InitialStyle"/>
          <w:rFonts w:ascii="Arial" w:hAnsi="Arial" w:cs="Arial"/>
          <w:sz w:val="24"/>
          <w:szCs w:val="24"/>
        </w:rPr>
        <w:t xml:space="preserve">DHHS </w:t>
      </w:r>
      <w:r w:rsidRPr="0089619C">
        <w:rPr>
          <w:rStyle w:val="InitialStyle"/>
          <w:rFonts w:ascii="Arial" w:hAnsi="Arial" w:cs="Arial"/>
          <w:sz w:val="24"/>
          <w:szCs w:val="24"/>
        </w:rPr>
        <w:t>REQUIREMENTS</w:t>
      </w:r>
    </w:p>
    <w:p w14:paraId="1939DCFF" w14:textId="77777777" w:rsidR="000D3102" w:rsidRDefault="000D3102" w:rsidP="000D3102">
      <w:pPr>
        <w:spacing w:after="0"/>
        <w:jc w:val="center"/>
        <w:rPr>
          <w:rStyle w:val="InitialStyle"/>
          <w:rFonts w:ascii="Arial" w:hAnsi="Arial" w:cs="Arial"/>
          <w:b/>
          <w:sz w:val="24"/>
          <w:szCs w:val="24"/>
        </w:rPr>
      </w:pPr>
    </w:p>
    <w:p w14:paraId="1117B04C" w14:textId="14591667" w:rsidR="005F28B4" w:rsidRDefault="000D3102" w:rsidP="000D3102">
      <w:pPr>
        <w:pStyle w:val="ListParagraph"/>
        <w:numPr>
          <w:ilvl w:val="0"/>
          <w:numId w:val="2"/>
        </w:numPr>
        <w:spacing w:after="0"/>
        <w:rPr>
          <w:rFonts w:ascii="Arial" w:hAnsi="Arial" w:cs="Arial"/>
          <w:sz w:val="24"/>
          <w:szCs w:val="24"/>
        </w:rPr>
      </w:pPr>
      <w:r w:rsidRPr="000D3102">
        <w:rPr>
          <w:rFonts w:ascii="Arial" w:hAnsi="Arial" w:cs="Arial"/>
          <w:b/>
          <w:bCs/>
          <w:sz w:val="24"/>
          <w:szCs w:val="24"/>
          <w:u w:val="single"/>
        </w:rPr>
        <w:t>CONFIDENTIALITY:</w:t>
      </w:r>
      <w:r w:rsidRPr="000D3102">
        <w:rPr>
          <w:rFonts w:ascii="Arial" w:hAnsi="Arial" w:cs="Arial"/>
          <w:sz w:val="24"/>
          <w:szCs w:val="24"/>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w:t>
      </w:r>
      <w:r w:rsidR="0085474C" w:rsidRPr="0085474C">
        <w:rPr>
          <w:rFonts w:ascii="Arial" w:hAnsi="Arial" w:cs="Arial"/>
          <w:sz w:val="24"/>
          <w:szCs w:val="24"/>
        </w:rPr>
        <w:t>, or is otherwise protected by law,</w:t>
      </w:r>
      <w:r w:rsidRPr="000D3102">
        <w:rPr>
          <w:rFonts w:ascii="Arial" w:hAnsi="Arial" w:cs="Arial"/>
          <w:sz w:val="24"/>
          <w:szCs w:val="24"/>
        </w:rPr>
        <w:t xml:space="preserve"> (“Protected Information”), the Provider agrees to a) maintain the confidentiality and security of such Protected Information as required by applicable state and federal laws, rules, regulations and Department policy, b) contact the Department within </w:t>
      </w:r>
      <w:r w:rsidR="0037011E" w:rsidRPr="000A5532">
        <w:rPr>
          <w:rFonts w:ascii="Arial" w:hAnsi="Arial" w:cs="Arial"/>
          <w:sz w:val="24"/>
          <w:szCs w:val="24"/>
        </w:rPr>
        <w:t>one (1) business day</w:t>
      </w:r>
      <w:r w:rsidRPr="000D3102">
        <w:rPr>
          <w:rFonts w:ascii="Arial" w:hAnsi="Arial" w:cs="Arial"/>
          <w:sz w:val="24"/>
          <w:szCs w:val="24"/>
        </w:rPr>
        <w:t xml:space="preserve">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r w:rsidR="005F28B4">
        <w:rPr>
          <w:rFonts w:ascii="Arial" w:hAnsi="Arial" w:cs="Arial"/>
          <w:sz w:val="24"/>
          <w:szCs w:val="24"/>
        </w:rPr>
        <w:t xml:space="preserve"> </w:t>
      </w:r>
    </w:p>
    <w:p w14:paraId="410B2E69" w14:textId="77777777" w:rsidR="005F28B4" w:rsidRDefault="005F28B4" w:rsidP="005F28B4">
      <w:pPr>
        <w:pStyle w:val="ListParagraph"/>
        <w:spacing w:after="0"/>
        <w:ind w:left="360"/>
        <w:rPr>
          <w:rFonts w:ascii="Arial" w:hAnsi="Arial" w:cs="Arial"/>
          <w:b/>
          <w:bCs/>
          <w:sz w:val="24"/>
          <w:szCs w:val="24"/>
          <w:u w:val="single"/>
        </w:rPr>
      </w:pPr>
    </w:p>
    <w:p w14:paraId="42B64743" w14:textId="54D3164B" w:rsidR="000D3102" w:rsidRDefault="005F28B4" w:rsidP="005F28B4">
      <w:pPr>
        <w:pStyle w:val="ListParagraph"/>
        <w:spacing w:after="0"/>
        <w:ind w:left="360"/>
        <w:rPr>
          <w:rFonts w:ascii="Arial" w:hAnsi="Arial" w:cs="Arial"/>
          <w:sz w:val="24"/>
          <w:szCs w:val="24"/>
        </w:rPr>
      </w:pPr>
      <w:r w:rsidRPr="005F28B4">
        <w:rPr>
          <w:rFonts w:ascii="Arial" w:hAnsi="Arial" w:cs="Arial"/>
          <w:sz w:val="24"/>
          <w:szCs w:val="24"/>
        </w:rPr>
        <w:t>The Provider shall comply with the Maine Public Law, Title 10, Chapter 210-B (Notice of Risk to Personal Data Act).</w:t>
      </w:r>
    </w:p>
    <w:p w14:paraId="285484AD" w14:textId="4D72966C" w:rsidR="000D3102" w:rsidRDefault="000D3102" w:rsidP="000D3102">
      <w:pPr>
        <w:pStyle w:val="ListParagraph"/>
        <w:spacing w:after="0"/>
        <w:ind w:left="360"/>
        <w:rPr>
          <w:rFonts w:ascii="Arial" w:hAnsi="Arial" w:cs="Arial"/>
          <w:sz w:val="24"/>
          <w:szCs w:val="24"/>
        </w:rPr>
      </w:pPr>
    </w:p>
    <w:p w14:paraId="40018234" w14:textId="34C32276" w:rsidR="000D3102" w:rsidRDefault="000D3102" w:rsidP="000D3102">
      <w:pPr>
        <w:pStyle w:val="ListParagraph"/>
        <w:spacing w:after="0"/>
        <w:ind w:left="360"/>
        <w:rPr>
          <w:rFonts w:ascii="Arial" w:hAnsi="Arial" w:cs="Arial"/>
          <w:sz w:val="24"/>
          <w:szCs w:val="24"/>
        </w:rPr>
      </w:pPr>
      <w:r w:rsidRPr="000D3102">
        <w:rPr>
          <w:rFonts w:ascii="Arial" w:hAnsi="Arial" w:cs="Arial"/>
          <w:sz w:val="24"/>
          <w:szCs w:val="24"/>
        </w:rPr>
        <w:t xml:space="preserve">To the extent the Provider under this Agreement is considered a Business Associate under the Health Insurance Portability and Accountability Act of 1996, Public Law 104-191 (HIPAA) and its updates and associated regulatory requirements, </w:t>
      </w:r>
      <w:proofErr w:type="gramStart"/>
      <w:r w:rsidRPr="000D3102">
        <w:rPr>
          <w:rFonts w:ascii="Arial" w:hAnsi="Arial" w:cs="Arial"/>
          <w:sz w:val="24"/>
          <w:szCs w:val="24"/>
        </w:rPr>
        <w:t>rules</w:t>
      </w:r>
      <w:proofErr w:type="gramEnd"/>
      <w:r w:rsidRPr="000D3102">
        <w:rPr>
          <w:rFonts w:ascii="Arial" w:hAnsi="Arial" w:cs="Arial"/>
          <w:sz w:val="24"/>
          <w:szCs w:val="24"/>
        </w:rPr>
        <w:t xml:space="preserve">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3D0DCE1A" w14:textId="77777777" w:rsidR="000D3102" w:rsidRPr="000D3102" w:rsidRDefault="000D3102" w:rsidP="000D3102">
      <w:pPr>
        <w:pStyle w:val="ListParagraph"/>
        <w:spacing w:after="0"/>
        <w:ind w:left="360"/>
        <w:rPr>
          <w:rFonts w:ascii="Arial" w:hAnsi="Arial" w:cs="Arial"/>
          <w:sz w:val="24"/>
          <w:szCs w:val="24"/>
        </w:rPr>
      </w:pPr>
    </w:p>
    <w:p w14:paraId="22F864A6" w14:textId="436686C4" w:rsid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LOBBY:</w:t>
      </w:r>
      <w:r w:rsidRPr="00B21B30">
        <w:rPr>
          <w:rFonts w:ascii="Arial" w:hAnsi="Arial" w:cs="Arial"/>
          <w:sz w:val="24"/>
          <w:szCs w:val="24"/>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4F4CECE3" w14:textId="77777777" w:rsidR="00B21B30" w:rsidRPr="00B21B30" w:rsidRDefault="00B21B30" w:rsidP="00B21B30">
      <w:pPr>
        <w:pStyle w:val="ListParagraph"/>
        <w:spacing w:after="0"/>
        <w:ind w:left="360"/>
        <w:rPr>
          <w:rFonts w:ascii="Arial" w:hAnsi="Arial" w:cs="Arial"/>
          <w:sz w:val="24"/>
          <w:szCs w:val="24"/>
        </w:rPr>
      </w:pPr>
    </w:p>
    <w:p w14:paraId="31E5D84D" w14:textId="55289894" w:rsidR="000D3102" w:rsidRDefault="00B21B30" w:rsidP="00B21B30">
      <w:pPr>
        <w:pStyle w:val="ListParagraph"/>
        <w:spacing w:after="0"/>
        <w:ind w:left="360"/>
        <w:rPr>
          <w:rFonts w:ascii="Arial" w:hAnsi="Arial" w:cs="Arial"/>
          <w:sz w:val="24"/>
          <w:szCs w:val="24"/>
        </w:rPr>
      </w:pPr>
      <w:r w:rsidRPr="00B21B30">
        <w:rPr>
          <w:rFonts w:ascii="Arial" w:hAnsi="Arial" w:cs="Arial"/>
          <w:sz w:val="24"/>
          <w:szCs w:val="24"/>
        </w:rPr>
        <w:t xml:space="preserve">If any other funds have been or will be paid to any person in connection with any of the covered actions specified in this provision, the Provider shall complete and submit a “Disclosure of Lobbying Activities” form available at: </w:t>
      </w:r>
      <w:hyperlink r:id="rId7" w:history="1">
        <w:r w:rsidRPr="00FA12BC">
          <w:rPr>
            <w:rStyle w:val="Hyperlink"/>
            <w:rFonts w:ascii="Arial" w:hAnsi="Arial" w:cs="Arial"/>
            <w:sz w:val="24"/>
            <w:szCs w:val="24"/>
          </w:rPr>
          <w:t>https://www.gsa.gov/forms-library/disclosure-lobbying-activities</w:t>
        </w:r>
      </w:hyperlink>
      <w:r w:rsidRPr="00B21B30">
        <w:rPr>
          <w:rFonts w:ascii="Arial" w:hAnsi="Arial" w:cs="Arial"/>
          <w:sz w:val="24"/>
          <w:szCs w:val="24"/>
        </w:rPr>
        <w:t>.</w:t>
      </w:r>
    </w:p>
    <w:p w14:paraId="117256FC" w14:textId="77777777" w:rsidR="00B21B30" w:rsidRDefault="00B21B30" w:rsidP="00B21B30">
      <w:pPr>
        <w:pStyle w:val="ListParagraph"/>
        <w:spacing w:after="0"/>
        <w:ind w:left="360"/>
        <w:rPr>
          <w:rFonts w:ascii="Arial" w:hAnsi="Arial" w:cs="Arial"/>
          <w:sz w:val="24"/>
          <w:szCs w:val="24"/>
        </w:rPr>
      </w:pPr>
    </w:p>
    <w:p w14:paraId="503E0AEC" w14:textId="20D6A212" w:rsidR="00B21B30" w:rsidRPr="0072622D" w:rsidRDefault="00B21B30" w:rsidP="0072622D">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DRUG-FREE WORKPLACE:</w:t>
      </w:r>
      <w:r w:rsidRPr="00B21B30">
        <w:rPr>
          <w:rFonts w:ascii="Arial" w:hAnsi="Arial" w:cs="Arial"/>
          <w:sz w:val="24"/>
          <w:szCs w:val="24"/>
        </w:rPr>
        <w:t xml:space="preserve"> By signing this Agreement, the Provider certifies that it shall comply with the drug-free workplace requirements of the Drug-Free Workplace </w:t>
      </w:r>
      <w:proofErr w:type="gramStart"/>
      <w:r w:rsidRPr="00B21B30">
        <w:rPr>
          <w:rFonts w:ascii="Arial" w:hAnsi="Arial" w:cs="Arial"/>
          <w:sz w:val="24"/>
          <w:szCs w:val="24"/>
        </w:rPr>
        <w:t>Act  (</w:t>
      </w:r>
      <w:proofErr w:type="gramEnd"/>
      <w:r w:rsidRPr="00B21B30">
        <w:rPr>
          <w:rFonts w:ascii="Arial" w:hAnsi="Arial" w:cs="Arial"/>
          <w:sz w:val="24"/>
          <w:szCs w:val="24"/>
        </w:rPr>
        <w:t>41 U.S.C. Ch. 81)</w:t>
      </w:r>
      <w:r w:rsidR="0072622D">
        <w:rPr>
          <w:rFonts w:ascii="Arial" w:hAnsi="Arial" w:cs="Arial"/>
          <w:sz w:val="24"/>
          <w:szCs w:val="24"/>
        </w:rPr>
        <w:t>.</w:t>
      </w:r>
    </w:p>
    <w:p w14:paraId="3B025A14" w14:textId="77777777" w:rsidR="00441DA1" w:rsidRPr="00441DA1" w:rsidRDefault="00441DA1" w:rsidP="00441DA1">
      <w:pPr>
        <w:pStyle w:val="ListParagraph"/>
        <w:spacing w:after="0"/>
        <w:ind w:left="360"/>
        <w:rPr>
          <w:rFonts w:ascii="Arial" w:hAnsi="Arial" w:cs="Arial"/>
          <w:sz w:val="24"/>
          <w:szCs w:val="24"/>
        </w:rPr>
      </w:pPr>
    </w:p>
    <w:p w14:paraId="6B48D562" w14:textId="2B2163E7"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ENVIRONMENT TOBACCO SMOKE:</w:t>
      </w:r>
      <w:r w:rsidRPr="007441B6">
        <w:rPr>
          <w:rFonts w:ascii="Arial" w:hAnsi="Arial" w:cs="Arial"/>
          <w:sz w:val="24"/>
          <w:szCs w:val="24"/>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642EFF32" w14:textId="77777777" w:rsidR="007441B6" w:rsidRPr="007441B6" w:rsidRDefault="007441B6" w:rsidP="007441B6">
      <w:pPr>
        <w:pStyle w:val="ListParagraph"/>
        <w:spacing w:after="0"/>
        <w:ind w:left="360"/>
        <w:rPr>
          <w:rFonts w:ascii="Arial" w:hAnsi="Arial" w:cs="Arial"/>
          <w:sz w:val="24"/>
          <w:szCs w:val="24"/>
        </w:rPr>
      </w:pPr>
    </w:p>
    <w:p w14:paraId="7E7BE5C7" w14:textId="1FA54879" w:rsidR="00B21B30" w:rsidRDefault="007441B6" w:rsidP="007441B6">
      <w:pPr>
        <w:pStyle w:val="ListParagraph"/>
        <w:spacing w:after="0"/>
        <w:ind w:left="360"/>
        <w:rPr>
          <w:rFonts w:ascii="Arial" w:hAnsi="Arial" w:cs="Arial"/>
          <w:sz w:val="24"/>
          <w:szCs w:val="24"/>
        </w:rPr>
      </w:pPr>
      <w:r w:rsidRPr="007441B6">
        <w:rPr>
          <w:rFonts w:ascii="Arial" w:hAnsi="Arial" w:cs="Arial"/>
          <w:sz w:val="24"/>
          <w:szCs w:val="24"/>
        </w:rPr>
        <w:t>Also, the Provider of foster care services agrees that it will comply with Resolve 2003, c. 134, which prohibits smoking in the homes and vehicles operated by foster parents.</w:t>
      </w:r>
    </w:p>
    <w:p w14:paraId="22F5B94E" w14:textId="77777777" w:rsidR="007441B6" w:rsidRPr="007441B6" w:rsidRDefault="007441B6" w:rsidP="007441B6">
      <w:pPr>
        <w:pStyle w:val="ListParagraph"/>
        <w:rPr>
          <w:rFonts w:ascii="Arial" w:hAnsi="Arial" w:cs="Arial"/>
          <w:sz w:val="24"/>
          <w:szCs w:val="24"/>
        </w:rPr>
      </w:pPr>
    </w:p>
    <w:p w14:paraId="05E54310" w14:textId="29BC65C0"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MEDICARE AND MAINECARE ANTI-KICKBACK:</w:t>
      </w:r>
      <w:r w:rsidRPr="007441B6">
        <w:rPr>
          <w:rFonts w:ascii="Arial" w:hAnsi="Arial" w:cs="Arial"/>
          <w:sz w:val="24"/>
          <w:szCs w:val="24"/>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p>
    <w:p w14:paraId="474A7A7A" w14:textId="77777777" w:rsidR="007441B6" w:rsidRPr="007441B6" w:rsidRDefault="007441B6" w:rsidP="007441B6">
      <w:pPr>
        <w:pStyle w:val="ListParagraph"/>
        <w:spacing w:after="0"/>
        <w:ind w:left="360"/>
        <w:rPr>
          <w:rFonts w:ascii="Arial" w:hAnsi="Arial" w:cs="Arial"/>
          <w:sz w:val="24"/>
          <w:szCs w:val="24"/>
        </w:rPr>
      </w:pPr>
    </w:p>
    <w:p w14:paraId="0F4986F8" w14:textId="47142ED9"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PUBLICATIONS:</w:t>
      </w:r>
      <w:r w:rsidRPr="007441B6">
        <w:rPr>
          <w:rFonts w:ascii="Arial" w:hAnsi="Arial" w:cs="Arial"/>
          <w:sz w:val="24"/>
          <w:szCs w:val="24"/>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12CB9A1C" w14:textId="77777777" w:rsidR="007441B6" w:rsidRPr="007441B6" w:rsidRDefault="007441B6" w:rsidP="007441B6">
      <w:pPr>
        <w:pStyle w:val="ListParagraph"/>
        <w:spacing w:after="0"/>
        <w:ind w:left="360"/>
        <w:rPr>
          <w:rFonts w:ascii="Arial" w:hAnsi="Arial" w:cs="Arial"/>
          <w:sz w:val="24"/>
          <w:szCs w:val="24"/>
        </w:rPr>
      </w:pPr>
    </w:p>
    <w:p w14:paraId="27E3D8A0" w14:textId="6BB1EB5B"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OWNERSHIP:</w:t>
      </w:r>
      <w:r w:rsidRPr="007441B6">
        <w:rPr>
          <w:rFonts w:ascii="Arial" w:hAnsi="Arial" w:cs="Arial"/>
          <w:sz w:val="24"/>
          <w:szCs w:val="24"/>
        </w:rPr>
        <w:t xml:space="preserve"> All notebooks, plans, working papers, data, or other work produced in the performance of this Agreement, which are related to specific deliverables under this Agreement, are the property of the Department and upon request shall be turned over to the Department</w:t>
      </w:r>
      <w:r w:rsidR="00FB575F" w:rsidRPr="00FB575F">
        <w:rPr>
          <w:rFonts w:ascii="Arial" w:hAnsi="Arial" w:cs="Arial"/>
          <w:sz w:val="24"/>
          <w:szCs w:val="24"/>
        </w:rPr>
        <w:t>.  The State (and the Federal Government, if Federal funds are involved) shall have unlimited rights to use, disclose, duplicate, or publish for any purpose whatsoever all information and data developed, derived, documented, or furnished by the Provider under this Agreement. The Provider shall furnish such information and data, upon the request of the Department, in accordance with applicable Federal and State laws.  Any equipment or products loaned by the Department to the Provider shall remain the property of the Department. Except for reasonable wear and tear, the Provider shall be responsible for the costs of repairing, or replacing, any damage to loaned Department equipment or products. At the end of this agreement, the Provider shall immediately return any loaned equipment or products to the Department.</w:t>
      </w:r>
    </w:p>
    <w:p w14:paraId="6AFA2B4B" w14:textId="77777777" w:rsidR="007441B6" w:rsidRPr="007441B6" w:rsidRDefault="007441B6" w:rsidP="007441B6">
      <w:pPr>
        <w:pStyle w:val="ListParagraph"/>
        <w:spacing w:after="0"/>
        <w:ind w:left="360"/>
        <w:rPr>
          <w:rFonts w:ascii="Arial" w:hAnsi="Arial" w:cs="Arial"/>
          <w:sz w:val="24"/>
          <w:szCs w:val="24"/>
        </w:rPr>
      </w:pPr>
    </w:p>
    <w:p w14:paraId="4A940702" w14:textId="6C04DF99"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PROVIDER RESPONSIBLITIES / SUB AGREEMENTS:</w:t>
      </w:r>
      <w:r w:rsidRPr="00441DA1">
        <w:rPr>
          <w:rFonts w:ascii="Arial" w:hAnsi="Arial" w:cs="Arial"/>
          <w:sz w:val="24"/>
          <w:szCs w:val="24"/>
        </w:rPr>
        <w:t xml:space="preserve"> The Provider is solely responsible for fulfillment of this Agreement with the Department. The Provider assumes responsibility for all services offered and products to be delivered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the Provider is the manufacturer or producer of said services. </w:t>
      </w:r>
    </w:p>
    <w:p w14:paraId="2BDDA67A" w14:textId="77777777" w:rsidR="00441DA1" w:rsidRPr="00441DA1" w:rsidRDefault="00441DA1" w:rsidP="00441DA1">
      <w:pPr>
        <w:pStyle w:val="ListParagraph"/>
        <w:spacing w:after="0"/>
        <w:ind w:left="360"/>
        <w:rPr>
          <w:rFonts w:ascii="Arial" w:hAnsi="Arial" w:cs="Arial"/>
          <w:sz w:val="24"/>
          <w:szCs w:val="24"/>
        </w:rPr>
      </w:pPr>
    </w:p>
    <w:p w14:paraId="71486C7C" w14:textId="77777777"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Sub-agreements.</w:t>
      </w:r>
    </w:p>
    <w:p w14:paraId="229F9D80"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 xml:space="preserve">All sub-agreements must contain the assurances of Rider B and Rider D of this </w:t>
      </w:r>
      <w:proofErr w:type="gramStart"/>
      <w:r w:rsidRPr="00441DA1">
        <w:rPr>
          <w:rFonts w:ascii="Arial" w:hAnsi="Arial" w:cs="Arial"/>
          <w:sz w:val="24"/>
          <w:szCs w:val="24"/>
        </w:rPr>
        <w:t>Agreement;</w:t>
      </w:r>
      <w:proofErr w:type="gramEnd"/>
    </w:p>
    <w:p w14:paraId="5CB5A6FB"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All sub-agreements must be signed and delivered to the Department’s Agreement Administrator within five (5) business days following the execution date of the sub-agreement.</w:t>
      </w:r>
    </w:p>
    <w:p w14:paraId="3E6D587C"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See Rider B Section 5.</w:t>
      </w:r>
    </w:p>
    <w:p w14:paraId="03E85FB2" w14:textId="686BFFEE"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Relationship between Provider, Subcontractor and Department.  The Provider shall be wholly responsible for performance of the entire Agreement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441DA1">
        <w:rPr>
          <w:rFonts w:ascii="Arial" w:hAnsi="Arial" w:cs="Arial"/>
          <w:sz w:val="24"/>
          <w:szCs w:val="24"/>
        </w:rPr>
        <w:t>with regard to</w:t>
      </w:r>
      <w:proofErr w:type="gramEnd"/>
      <w:r w:rsidRPr="00441DA1">
        <w:rPr>
          <w:rFonts w:ascii="Arial" w:hAnsi="Arial" w:cs="Arial"/>
          <w:sz w:val="24"/>
          <w:szCs w:val="24"/>
        </w:rPr>
        <w:t xml:space="preserve"> any matters related to this Agreement, including payment of any and all charges resulting from this Agreement.  The Department shall bear no liability for paying the claims of any subcontractors,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37E5E191" w14:textId="2C6AD9B7" w:rsid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Liability to Subcontractor.  The requirement of prior approval of any sub-agreement under this Agreement shall not make the Department a party to any sub-agreement or create any right, </w:t>
      </w:r>
      <w:proofErr w:type="gramStart"/>
      <w:r w:rsidRPr="00441DA1">
        <w:rPr>
          <w:rFonts w:ascii="Arial" w:hAnsi="Arial" w:cs="Arial"/>
          <w:sz w:val="24"/>
          <w:szCs w:val="24"/>
        </w:rPr>
        <w:t>claim</w:t>
      </w:r>
      <w:proofErr w:type="gramEnd"/>
      <w:r w:rsidRPr="00441DA1">
        <w:rPr>
          <w:rFonts w:ascii="Arial" w:hAnsi="Arial" w:cs="Arial"/>
          <w:sz w:val="24"/>
          <w:szCs w:val="24"/>
        </w:rPr>
        <w:t xml:space="preserve">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1A2F164D" w14:textId="46A210B0" w:rsidR="00441DA1" w:rsidRDefault="00441DA1" w:rsidP="00441DA1">
      <w:pPr>
        <w:pStyle w:val="ListParagraph"/>
        <w:spacing w:after="0"/>
        <w:ind w:left="360"/>
        <w:rPr>
          <w:rFonts w:ascii="Arial" w:hAnsi="Arial" w:cs="Arial"/>
          <w:sz w:val="24"/>
          <w:szCs w:val="24"/>
        </w:rPr>
      </w:pPr>
    </w:p>
    <w:p w14:paraId="7B08F6EC" w14:textId="526714CA"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RENEWALS:</w:t>
      </w:r>
      <w:r w:rsidRPr="00441DA1">
        <w:rPr>
          <w:rFonts w:ascii="Arial" w:hAnsi="Arial" w:cs="Arial"/>
          <w:sz w:val="24"/>
          <w:szCs w:val="24"/>
        </w:rPr>
        <w:t xml:space="preserve"> This Agreement may be renewed at the discretion of the Department.</w:t>
      </w:r>
    </w:p>
    <w:p w14:paraId="55C5679B" w14:textId="77777777" w:rsidR="00441DA1" w:rsidRDefault="00441DA1" w:rsidP="00441DA1">
      <w:pPr>
        <w:pStyle w:val="ListParagraph"/>
        <w:spacing w:after="0"/>
        <w:ind w:left="360"/>
        <w:rPr>
          <w:rFonts w:ascii="Arial" w:hAnsi="Arial" w:cs="Arial"/>
          <w:sz w:val="24"/>
          <w:szCs w:val="24"/>
        </w:rPr>
      </w:pPr>
    </w:p>
    <w:p w14:paraId="2D5BACE8" w14:textId="41931671"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NO RULES OF CONSTRUCTIONS:</w:t>
      </w:r>
      <w:r w:rsidRPr="00441DA1">
        <w:rPr>
          <w:rFonts w:ascii="Arial" w:hAnsi="Arial" w:cs="Arial"/>
          <w:sz w:val="24"/>
          <w:szCs w:val="24"/>
        </w:rPr>
        <w:t xml:space="preserve"> 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310514BA" w14:textId="77777777" w:rsidR="00441DA1" w:rsidRPr="00441DA1" w:rsidRDefault="00441DA1" w:rsidP="00441DA1">
      <w:pPr>
        <w:pStyle w:val="ListParagraph"/>
        <w:spacing w:after="0"/>
        <w:ind w:left="360"/>
        <w:rPr>
          <w:rFonts w:ascii="Arial" w:hAnsi="Arial" w:cs="Arial"/>
          <w:sz w:val="24"/>
          <w:szCs w:val="24"/>
        </w:rPr>
      </w:pPr>
    </w:p>
    <w:p w14:paraId="579575F4" w14:textId="6FC0545B"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CONFLICT OF INTEREST:</w:t>
      </w:r>
      <w:r w:rsidRPr="00441DA1">
        <w:rPr>
          <w:rFonts w:ascii="Arial" w:hAnsi="Arial" w:cs="Arial"/>
          <w:sz w:val="24"/>
          <w:szCs w:val="24"/>
        </w:rPr>
        <w:t xml:space="preserve">  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w:t>
      </w:r>
      <w:r w:rsidR="006D4033">
        <w:rPr>
          <w:rFonts w:ascii="Arial" w:hAnsi="Arial" w:cs="Arial"/>
          <w:sz w:val="24"/>
          <w:szCs w:val="24"/>
        </w:rPr>
        <w:t xml:space="preserve">Section </w:t>
      </w:r>
      <w:r w:rsidRPr="00441DA1">
        <w:rPr>
          <w:rFonts w:ascii="Arial" w:hAnsi="Arial" w:cs="Arial"/>
          <w:sz w:val="24"/>
          <w:szCs w:val="24"/>
        </w:rPr>
        <w:t>8]</w:t>
      </w:r>
    </w:p>
    <w:p w14:paraId="5C82407C" w14:textId="34B90038" w:rsidR="00441DA1" w:rsidRDefault="00441DA1" w:rsidP="00373E98">
      <w:pPr>
        <w:pStyle w:val="ListParagraph"/>
        <w:spacing w:after="0"/>
        <w:ind w:left="360"/>
        <w:rPr>
          <w:rFonts w:ascii="Arial" w:hAnsi="Arial" w:cs="Arial"/>
          <w:sz w:val="24"/>
          <w:szCs w:val="24"/>
        </w:rPr>
      </w:pPr>
    </w:p>
    <w:p w14:paraId="0069A6C2" w14:textId="563899CE" w:rsidR="00373E98" w:rsidRPr="00373E98" w:rsidRDefault="00373E98" w:rsidP="00373E98">
      <w:pPr>
        <w:pStyle w:val="ListParagraph"/>
        <w:numPr>
          <w:ilvl w:val="0"/>
          <w:numId w:val="2"/>
        </w:numPr>
        <w:spacing w:after="0"/>
        <w:rPr>
          <w:rFonts w:ascii="Arial" w:hAnsi="Arial" w:cs="Arial"/>
          <w:b/>
          <w:bCs/>
          <w:sz w:val="24"/>
          <w:szCs w:val="24"/>
          <w:u w:val="single"/>
        </w:rPr>
      </w:pPr>
      <w:r w:rsidRPr="00373E98">
        <w:rPr>
          <w:rFonts w:ascii="Arial" w:hAnsi="Arial" w:cs="Arial"/>
          <w:b/>
          <w:bCs/>
          <w:sz w:val="24"/>
          <w:szCs w:val="24"/>
          <w:u w:val="single"/>
        </w:rPr>
        <w:t>WHISTLEBLOWER PROTECTION:</w:t>
      </w:r>
    </w:p>
    <w:p w14:paraId="587C508E" w14:textId="454E5A5E"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A419B2D" w14:textId="52FF6B79"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inform its employees in writing, in the predominant language of the workforce, of employee whistleblower rights and protections under 41 U.S.C. 4712, as described in section 3.908 of the Federal Acquisition Regulation.</w:t>
      </w:r>
    </w:p>
    <w:p w14:paraId="41EB133F" w14:textId="77777777"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insert the substance of this clause, including this paragraph (c), in all subcontracts over the simplified acquisition threshold.</w:t>
      </w:r>
    </w:p>
    <w:p w14:paraId="724E2223" w14:textId="77777777" w:rsidR="00373E98" w:rsidRPr="00373E98" w:rsidRDefault="00373E98" w:rsidP="00373E98">
      <w:pPr>
        <w:pStyle w:val="ListParagraph"/>
        <w:spacing w:after="0"/>
        <w:ind w:left="360"/>
        <w:rPr>
          <w:rFonts w:ascii="Arial" w:hAnsi="Arial" w:cs="Arial"/>
          <w:sz w:val="24"/>
          <w:szCs w:val="24"/>
        </w:rPr>
      </w:pPr>
    </w:p>
    <w:p w14:paraId="3A809925" w14:textId="1E94E8AA" w:rsidR="00373E98" w:rsidRP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FUNDING SOURCES REDUCED:</w:t>
      </w:r>
      <w:r w:rsidRPr="00373E98">
        <w:rPr>
          <w:rFonts w:ascii="Arial" w:hAnsi="Arial" w:cs="Arial"/>
          <w:sz w:val="24"/>
          <w:szCs w:val="24"/>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 </w:t>
      </w:r>
    </w:p>
    <w:p w14:paraId="727FE0CD" w14:textId="06EAF7BB" w:rsidR="00373E98" w:rsidRPr="00373E98" w:rsidRDefault="00742668" w:rsidP="00742668">
      <w:pPr>
        <w:pStyle w:val="ListParagraph"/>
        <w:tabs>
          <w:tab w:val="left" w:pos="9619"/>
        </w:tabs>
        <w:spacing w:after="0"/>
        <w:ind w:left="360"/>
        <w:rPr>
          <w:rFonts w:ascii="Arial" w:hAnsi="Arial" w:cs="Arial"/>
          <w:sz w:val="24"/>
          <w:szCs w:val="24"/>
        </w:rPr>
      </w:pPr>
      <w:r>
        <w:rPr>
          <w:rFonts w:ascii="Arial" w:hAnsi="Arial" w:cs="Arial"/>
          <w:sz w:val="24"/>
          <w:szCs w:val="24"/>
        </w:rPr>
        <w:tab/>
      </w:r>
    </w:p>
    <w:p w14:paraId="46559EEF" w14:textId="16BE2F60" w:rsid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CHANGE OF OPERATIONS:</w:t>
      </w:r>
      <w:r w:rsidRPr="00373E98">
        <w:rPr>
          <w:rFonts w:ascii="Arial" w:hAnsi="Arial" w:cs="Arial"/>
          <w:sz w:val="24"/>
          <w:szCs w:val="24"/>
        </w:rPr>
        <w:t xml:space="preserve"> The Provider shall report to the Agreement Administrator and Program Administrator any anticipated changes of the Provider’s operations, including but not limited to mergers, acquisitions, or closings, </w:t>
      </w:r>
      <w:proofErr w:type="gramStart"/>
      <w:r w:rsidRPr="00373E98">
        <w:rPr>
          <w:rFonts w:ascii="Arial" w:hAnsi="Arial" w:cs="Arial"/>
          <w:sz w:val="24"/>
          <w:szCs w:val="24"/>
        </w:rPr>
        <w:t>at the earliest possible date</w:t>
      </w:r>
      <w:proofErr w:type="gramEnd"/>
      <w:r w:rsidRPr="00373E98">
        <w:rPr>
          <w:rFonts w:ascii="Arial" w:hAnsi="Arial" w:cs="Arial"/>
          <w:sz w:val="24"/>
          <w:szCs w:val="24"/>
        </w:rPr>
        <w:t xml:space="preserve"> and no later than sixty (60) days prior to the anticipated closure date, with the exception of reasonably unforeseen circumstance.</w:t>
      </w:r>
    </w:p>
    <w:p w14:paraId="4E8E8F9E" w14:textId="77777777" w:rsidR="00373E98" w:rsidRPr="00373E98" w:rsidRDefault="00373E98" w:rsidP="00373E98">
      <w:pPr>
        <w:pStyle w:val="ListParagraph"/>
        <w:rPr>
          <w:rFonts w:ascii="Arial" w:hAnsi="Arial" w:cs="Arial"/>
          <w:sz w:val="24"/>
          <w:szCs w:val="24"/>
        </w:rPr>
      </w:pPr>
    </w:p>
    <w:p w14:paraId="58366CF2" w14:textId="2D39D07F"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BACKGROUND CHECKS</w:t>
      </w:r>
      <w:r w:rsidR="000B2280" w:rsidRPr="000B2280">
        <w:rPr>
          <w:rFonts w:ascii="Arial" w:hAnsi="Arial" w:cs="Arial"/>
          <w:b/>
          <w:bCs/>
          <w:sz w:val="24"/>
          <w:szCs w:val="24"/>
          <w:u w:val="single"/>
        </w:rPr>
        <w:t>:</w:t>
      </w:r>
      <w:r w:rsidRPr="00373E98">
        <w:rPr>
          <w:rFonts w:ascii="Arial" w:hAnsi="Arial" w:cs="Arial"/>
          <w:sz w:val="24"/>
          <w:szCs w:val="24"/>
        </w:rPr>
        <w:t xml:space="preserve">  The Provider agrees to conduct background checks on all employees, temporary staff persons, persons contracted or hired, consultants, volunteers, students, and other persons who may provide services under this Agreement.  The </w:t>
      </w:r>
      <w:r w:rsidR="00003614">
        <w:rPr>
          <w:rFonts w:ascii="Arial" w:hAnsi="Arial" w:cs="Arial"/>
          <w:sz w:val="24"/>
          <w:szCs w:val="24"/>
        </w:rPr>
        <w:t xml:space="preserve">Provider shall confirm the pass/fail </w:t>
      </w:r>
      <w:r w:rsidRPr="00373E98">
        <w:rPr>
          <w:rFonts w:ascii="Arial" w:hAnsi="Arial" w:cs="Arial"/>
          <w:sz w:val="24"/>
          <w:szCs w:val="24"/>
        </w:rPr>
        <w:t xml:space="preserve">results of each background check </w:t>
      </w:r>
      <w:r w:rsidR="00003614">
        <w:rPr>
          <w:rFonts w:ascii="Arial" w:hAnsi="Arial" w:cs="Arial"/>
          <w:sz w:val="24"/>
          <w:szCs w:val="24"/>
        </w:rPr>
        <w:t xml:space="preserve">with </w:t>
      </w:r>
      <w:r w:rsidRPr="00373E98">
        <w:rPr>
          <w:rFonts w:ascii="Arial" w:hAnsi="Arial" w:cs="Arial"/>
          <w:sz w:val="24"/>
          <w:szCs w:val="24"/>
        </w:rPr>
        <w:t xml:space="preserve">the Program Administrator </w:t>
      </w:r>
      <w:r w:rsidR="00003614">
        <w:rPr>
          <w:rFonts w:ascii="Arial" w:hAnsi="Arial" w:cs="Arial"/>
          <w:sz w:val="24"/>
          <w:szCs w:val="24"/>
        </w:rPr>
        <w:t>upon request</w:t>
      </w:r>
      <w:r w:rsidRPr="00373E98">
        <w:rPr>
          <w:rFonts w:ascii="Arial" w:hAnsi="Arial" w:cs="Arial"/>
          <w:sz w:val="24"/>
          <w:szCs w:val="24"/>
        </w:rPr>
        <w:t xml:space="preserve">.  The cost of performing each background check shall be the responsibility of the Provider. The methods of performing the background checks must include information from the Bureau of Motor Vehicles, the Sex Offender Registry, and the Maine State Bureau of Investigation.  If services to be provided under this agreement include services to minor </w:t>
      </w:r>
      <w:proofErr w:type="gramStart"/>
      <w:r w:rsidRPr="00373E98">
        <w:rPr>
          <w:rFonts w:ascii="Arial" w:hAnsi="Arial" w:cs="Arial"/>
          <w:sz w:val="24"/>
          <w:szCs w:val="24"/>
        </w:rPr>
        <w:t>children</w:t>
      </w:r>
      <w:proofErr w:type="gramEnd"/>
      <w:r w:rsidRPr="00373E98">
        <w:rPr>
          <w:rFonts w:ascii="Arial" w:hAnsi="Arial" w:cs="Arial"/>
          <w:sz w:val="24"/>
          <w:szCs w:val="24"/>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Pr="00373E98">
        <w:rPr>
          <w:rFonts w:ascii="Arial" w:hAnsi="Arial" w:cs="Arial"/>
          <w:sz w:val="24"/>
          <w:szCs w:val="24"/>
        </w:rPr>
        <w:t>licensed</w:t>
      </w:r>
      <w:proofErr w:type="gramEnd"/>
      <w:r w:rsidRPr="00373E98">
        <w:rPr>
          <w:rFonts w:ascii="Arial" w:hAnsi="Arial" w:cs="Arial"/>
          <w:sz w:val="24"/>
          <w:szCs w:val="24"/>
        </w:rPr>
        <w:t xml:space="preserve"> then the background check will include information from the appropriate licensing board or entity regarding the status of the person’s license.  </w:t>
      </w:r>
    </w:p>
    <w:p w14:paraId="3AFE5FAC" w14:textId="77777777" w:rsidR="00373E98" w:rsidRPr="00373E98" w:rsidRDefault="00373E98" w:rsidP="000B2280">
      <w:pPr>
        <w:pStyle w:val="ListParagraph"/>
        <w:spacing w:after="0"/>
        <w:ind w:left="360"/>
        <w:rPr>
          <w:rFonts w:ascii="Arial" w:hAnsi="Arial" w:cs="Arial"/>
          <w:sz w:val="24"/>
          <w:szCs w:val="24"/>
        </w:rPr>
      </w:pPr>
    </w:p>
    <w:p w14:paraId="4BA9289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under this Agreement if that person has a record of:</w:t>
      </w:r>
    </w:p>
    <w:p w14:paraId="5C5AB26A" w14:textId="4D653B68" w:rsidR="00373E98" w:rsidRPr="000B2280"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any criminal conviction that involves client abuse, neglect or </w:t>
      </w:r>
      <w:proofErr w:type="gramStart"/>
      <w:r w:rsidRPr="00373E98">
        <w:rPr>
          <w:rFonts w:ascii="Arial" w:hAnsi="Arial" w:cs="Arial"/>
          <w:sz w:val="24"/>
          <w:szCs w:val="24"/>
        </w:rPr>
        <w:t>exploitation;</w:t>
      </w:r>
      <w:proofErr w:type="gramEnd"/>
    </w:p>
    <w:p w14:paraId="1E7B6E4B"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lastRenderedPageBreak/>
        <w:t xml:space="preserve">any criminal conviction, classified as Class A, B or C or the equivalent of any of these, or any reckless conduct that caused, threatened, </w:t>
      </w:r>
      <w:proofErr w:type="gramStart"/>
      <w:r w:rsidRPr="00373E98">
        <w:rPr>
          <w:rFonts w:ascii="Arial" w:hAnsi="Arial" w:cs="Arial"/>
          <w:sz w:val="24"/>
          <w:szCs w:val="24"/>
        </w:rPr>
        <w:t>solicited</w:t>
      </w:r>
      <w:proofErr w:type="gramEnd"/>
      <w:r w:rsidRPr="00373E98">
        <w:rPr>
          <w:rFonts w:ascii="Arial" w:hAnsi="Arial" w:cs="Arial"/>
          <w:sz w:val="24"/>
          <w:szCs w:val="24"/>
        </w:rPr>
        <w:t xml:space="preserve"> or created the substantial risk of bodily injury to another person within the preceding two years; or</w:t>
      </w:r>
    </w:p>
    <w:p w14:paraId="21D6762A"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any criminal conviction resulting from a sexual act, contact, touching or solicitation in connection to any victim.</w:t>
      </w:r>
    </w:p>
    <w:p w14:paraId="3B7FF8D5" w14:textId="77777777" w:rsidR="00373E98" w:rsidRPr="00373E98" w:rsidRDefault="00373E98" w:rsidP="000B2280">
      <w:pPr>
        <w:pStyle w:val="ListParagraph"/>
        <w:spacing w:after="0"/>
        <w:ind w:left="360"/>
        <w:rPr>
          <w:rFonts w:ascii="Arial" w:hAnsi="Arial" w:cs="Arial"/>
          <w:sz w:val="24"/>
          <w:szCs w:val="24"/>
        </w:rPr>
      </w:pPr>
    </w:p>
    <w:p w14:paraId="3779E7DC"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who is minor child under this Agreement if that person has a record of substantiated abuse or neglect of a child.</w:t>
      </w:r>
    </w:p>
    <w:p w14:paraId="5AC0ACA6" w14:textId="77777777" w:rsidR="00373E98" w:rsidRPr="00373E98" w:rsidRDefault="00373E98" w:rsidP="000B2280">
      <w:pPr>
        <w:pStyle w:val="ListParagraph"/>
        <w:spacing w:after="0"/>
        <w:ind w:left="360"/>
        <w:rPr>
          <w:rFonts w:ascii="Arial" w:hAnsi="Arial" w:cs="Arial"/>
          <w:sz w:val="24"/>
          <w:szCs w:val="24"/>
        </w:rPr>
      </w:pPr>
    </w:p>
    <w:p w14:paraId="2CAC525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9DECA7C" w14:textId="77777777" w:rsidR="00373E98" w:rsidRPr="00373E98" w:rsidRDefault="00373E98" w:rsidP="000B2280">
      <w:pPr>
        <w:pStyle w:val="ListParagraph"/>
        <w:spacing w:after="0"/>
        <w:ind w:left="360"/>
        <w:rPr>
          <w:rFonts w:ascii="Arial" w:hAnsi="Arial" w:cs="Arial"/>
          <w:sz w:val="24"/>
          <w:szCs w:val="24"/>
        </w:rPr>
      </w:pPr>
    </w:p>
    <w:p w14:paraId="230AE7D1" w14:textId="7A93EE86"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TANF SUBRECIPIENT REQUIREMENTS</w:t>
      </w:r>
      <w:r w:rsidR="000B2280" w:rsidRPr="000B2280">
        <w:rPr>
          <w:rFonts w:ascii="Arial" w:hAnsi="Arial" w:cs="Arial"/>
          <w:b/>
          <w:bCs/>
          <w:sz w:val="24"/>
          <w:szCs w:val="24"/>
          <w:u w:val="single"/>
        </w:rPr>
        <w:t>:</w:t>
      </w:r>
      <w:r w:rsidRPr="00373E98">
        <w:rPr>
          <w:rFonts w:ascii="Arial" w:hAnsi="Arial" w:cs="Arial"/>
          <w:sz w:val="24"/>
          <w:szCs w:val="24"/>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746BFE8F" w14:textId="77777777" w:rsidR="00373E98" w:rsidRPr="00373E98" w:rsidRDefault="00373E98" w:rsidP="0088268A">
      <w:pPr>
        <w:pStyle w:val="ListParagraph"/>
        <w:spacing w:after="0"/>
        <w:ind w:left="360"/>
        <w:rPr>
          <w:rFonts w:ascii="Arial" w:hAnsi="Arial" w:cs="Arial"/>
          <w:sz w:val="24"/>
          <w:szCs w:val="24"/>
        </w:rPr>
      </w:pPr>
    </w:p>
    <w:p w14:paraId="6E11B8A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Ensure that funds are expended in accordance with state laws and procedures for the state’s own funds and allow the Department to review the Provider’s financial management system, in accordance with 2 CFR 200.302. </w:t>
      </w:r>
    </w:p>
    <w:p w14:paraId="58587BE1"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effective internal controls are used, which includes complying with federal statutes and taking prompt action in instances of non-compliance, in accordance with 2 CFR 200.303.</w:t>
      </w:r>
    </w:p>
    <w:p w14:paraId="5BE947C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funds are spent in accordance with 2 CFR 200.305.</w:t>
      </w:r>
    </w:p>
    <w:p w14:paraId="22147399"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Monitor program performance and, if required, submit performance reports, data on program objectives and the progress towards meeting those objectives, and additional pertinent data, in accordance with 2 CFR 200.328.</w:t>
      </w:r>
    </w:p>
    <w:p w14:paraId="6DA741E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Retain program, financial and statistical records for at least five years from the end of each program year, in accordance with 2 CFR 200.333.</w:t>
      </w:r>
    </w:p>
    <w:p w14:paraId="1450C27A" w14:textId="77777777" w:rsidR="00373E98" w:rsidRPr="0072622D" w:rsidRDefault="00373E98" w:rsidP="0088268A">
      <w:pPr>
        <w:pStyle w:val="ListParagraph"/>
        <w:numPr>
          <w:ilvl w:val="1"/>
          <w:numId w:val="2"/>
        </w:numPr>
        <w:spacing w:after="0"/>
        <w:rPr>
          <w:rFonts w:ascii="Arial" w:hAnsi="Arial" w:cs="Arial"/>
          <w:sz w:val="24"/>
          <w:szCs w:val="24"/>
        </w:rPr>
      </w:pPr>
      <w:r w:rsidRPr="0072622D">
        <w:rPr>
          <w:rFonts w:ascii="Arial" w:hAnsi="Arial" w:cs="Arial"/>
          <w:sz w:val="24"/>
          <w:szCs w:val="24"/>
        </w:rPr>
        <w:t>Conduct a Single Audit in accordance with 2 CFR 200 Subpart F, if applicable.</w:t>
      </w:r>
    </w:p>
    <w:p w14:paraId="79418680" w14:textId="77777777" w:rsidR="00373E98" w:rsidRPr="0072622D" w:rsidRDefault="00373E98" w:rsidP="0088268A">
      <w:pPr>
        <w:pStyle w:val="ListParagraph"/>
        <w:spacing w:after="0"/>
        <w:ind w:left="360"/>
        <w:rPr>
          <w:rFonts w:ascii="Arial" w:hAnsi="Arial" w:cs="Arial"/>
          <w:sz w:val="24"/>
          <w:szCs w:val="24"/>
        </w:rPr>
      </w:pPr>
    </w:p>
    <w:p w14:paraId="50F7AB9B" w14:textId="67D4ECE0" w:rsidR="00FC16A9" w:rsidRPr="0072622D" w:rsidRDefault="00373E98" w:rsidP="00FC16A9">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CLEAN AIR AND CLEAN WATER</w:t>
      </w:r>
      <w:r w:rsidR="0088268A" w:rsidRPr="0072622D">
        <w:rPr>
          <w:rFonts w:ascii="Arial" w:hAnsi="Arial" w:cs="Arial"/>
          <w:b/>
          <w:bCs/>
          <w:sz w:val="24"/>
          <w:szCs w:val="24"/>
          <w:u w:val="single"/>
        </w:rPr>
        <w:t>:</w:t>
      </w:r>
      <w:r w:rsidRPr="0072622D">
        <w:rPr>
          <w:rFonts w:ascii="Arial" w:hAnsi="Arial" w:cs="Arial"/>
          <w:sz w:val="24"/>
          <w:szCs w:val="24"/>
        </w:rPr>
        <w:t xml:space="preserve">  By signing this agreement, the Provider agrees that it will comply with all applicable standards, orders or regulations issued pursuant to the Clean Air Act (42 U.S.C. 7401-7671q) and the Federal Water Pollution Control Act as amended (33 U.S.C. 1251-1387).</w:t>
      </w:r>
    </w:p>
    <w:p w14:paraId="6E904EEC" w14:textId="0613D3AC" w:rsidR="00D32199" w:rsidRPr="0072622D" w:rsidRDefault="00D32199" w:rsidP="00D32199">
      <w:pPr>
        <w:pStyle w:val="ListParagraph"/>
        <w:spacing w:after="0"/>
        <w:ind w:left="360"/>
        <w:rPr>
          <w:rFonts w:ascii="Arial" w:hAnsi="Arial" w:cs="Arial"/>
          <w:sz w:val="24"/>
          <w:szCs w:val="24"/>
        </w:rPr>
      </w:pPr>
    </w:p>
    <w:p w14:paraId="7AEFF408" w14:textId="59B0618C" w:rsidR="00D32199" w:rsidRPr="0072622D" w:rsidRDefault="00D32199" w:rsidP="00D32199">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AUDIT:</w:t>
      </w:r>
      <w:r w:rsidRPr="0072622D">
        <w:rPr>
          <w:rFonts w:ascii="Arial" w:hAnsi="Arial" w:cs="Arial"/>
          <w:sz w:val="24"/>
          <w:szCs w:val="24"/>
        </w:rPr>
        <w:t xml:space="preserve"> Funds provided under this Agreement to community agencies for social services are subject to the audit requirements contained in the Maine Uniform Accounting and Auditing Practices for Community Agencies (MAAP), Uniform Guidance 2CFR Part 200.501, and may further be subject to audit by authorized representatives of the Federal Government, according to </w:t>
      </w:r>
      <w:r w:rsidRPr="0072622D">
        <w:rPr>
          <w:rFonts w:ascii="Arial" w:hAnsi="Arial" w:cs="Arial"/>
          <w:sz w:val="24"/>
          <w:szCs w:val="24"/>
        </w:rPr>
        <w:lastRenderedPageBreak/>
        <w:t xml:space="preserve">the Agreement Settlement Form (pro forma) contained in Rider F, if applicable. Agencies that expend $750,000 or more in a year in Federal Awards shall have a single or program-specific audit conducted for that year in accordance with 2CFR Part 200.501. Please see </w:t>
      </w:r>
      <w:hyperlink r:id="rId8" w:history="1">
        <w:r w:rsidRPr="0072622D">
          <w:rPr>
            <w:rStyle w:val="Hyperlink"/>
            <w:rFonts w:ascii="Arial" w:hAnsi="Arial" w:cs="Arial"/>
            <w:color w:val="auto"/>
            <w:sz w:val="24"/>
            <w:szCs w:val="24"/>
          </w:rPr>
          <w:t>http://www.maine.gov/dhhs/audit/social-services/rules.shtml</w:t>
        </w:r>
      </w:hyperlink>
      <w:r w:rsidRPr="0072622D">
        <w:rPr>
          <w:rFonts w:ascii="Arial" w:hAnsi="Arial" w:cs="Arial"/>
          <w:sz w:val="24"/>
          <w:szCs w:val="24"/>
        </w:rPr>
        <w:t xml:space="preserve"> for details on this requirement.</w:t>
      </w:r>
    </w:p>
    <w:p w14:paraId="6271E006" w14:textId="7F19A527" w:rsidR="00D32199" w:rsidRPr="0072622D" w:rsidRDefault="00D32199" w:rsidP="00D32199">
      <w:pPr>
        <w:pStyle w:val="ListParagraph"/>
        <w:spacing w:after="0"/>
        <w:ind w:left="360"/>
        <w:rPr>
          <w:rFonts w:ascii="Arial" w:hAnsi="Arial" w:cs="Arial"/>
          <w:sz w:val="24"/>
          <w:szCs w:val="24"/>
        </w:rPr>
      </w:pPr>
    </w:p>
    <w:p w14:paraId="45AC2F9B" w14:textId="0F7BCFEB" w:rsidR="00D32199" w:rsidRPr="0072622D" w:rsidRDefault="00D32199" w:rsidP="00D32199">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MOTOR VEHICLE CHECK:</w:t>
      </w:r>
      <w:r w:rsidRPr="0072622D">
        <w:rPr>
          <w:rFonts w:ascii="Arial" w:hAnsi="Arial" w:cs="Arial"/>
          <w:sz w:val="24"/>
          <w:szCs w:val="24"/>
        </w:rPr>
        <w:t xml:space="preserve">  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79AB1696" w14:textId="77777777" w:rsidR="00D32199" w:rsidRPr="0072622D" w:rsidRDefault="00D32199" w:rsidP="00D32199">
      <w:pPr>
        <w:pStyle w:val="ListParagraph"/>
        <w:spacing w:after="0"/>
        <w:ind w:left="360"/>
        <w:rPr>
          <w:rFonts w:ascii="Arial" w:hAnsi="Arial" w:cs="Arial"/>
          <w:sz w:val="24"/>
          <w:szCs w:val="24"/>
        </w:rPr>
      </w:pPr>
    </w:p>
    <w:p w14:paraId="338E6B0F" w14:textId="19E0F96E" w:rsidR="00D32199" w:rsidRPr="0072622D" w:rsidRDefault="00D32199" w:rsidP="00D32199">
      <w:pPr>
        <w:pStyle w:val="ListParagraph"/>
        <w:numPr>
          <w:ilvl w:val="0"/>
          <w:numId w:val="2"/>
        </w:numPr>
        <w:spacing w:after="0"/>
        <w:rPr>
          <w:rFonts w:ascii="Arial" w:hAnsi="Arial" w:cs="Arial"/>
          <w:b/>
          <w:bCs/>
          <w:sz w:val="24"/>
          <w:szCs w:val="24"/>
          <w:u w:val="single"/>
        </w:rPr>
      </w:pPr>
      <w:r w:rsidRPr="0072622D">
        <w:rPr>
          <w:rFonts w:ascii="Arial" w:hAnsi="Arial" w:cs="Arial"/>
          <w:b/>
          <w:bCs/>
          <w:sz w:val="24"/>
          <w:szCs w:val="24"/>
          <w:u w:val="single"/>
        </w:rPr>
        <w:t>EXCEPTIONS TO OMB CIRCULARS FOR NON-</w:t>
      </w:r>
      <w:proofErr w:type="gramStart"/>
      <w:r w:rsidRPr="0072622D">
        <w:rPr>
          <w:rFonts w:ascii="Arial" w:hAnsi="Arial" w:cs="Arial"/>
          <w:b/>
          <w:bCs/>
          <w:sz w:val="24"/>
          <w:szCs w:val="24"/>
          <w:u w:val="single"/>
        </w:rPr>
        <w:t>FEDERALLY-FUNDED</w:t>
      </w:r>
      <w:proofErr w:type="gramEnd"/>
      <w:r w:rsidRPr="0072622D">
        <w:rPr>
          <w:rFonts w:ascii="Arial" w:hAnsi="Arial" w:cs="Arial"/>
          <w:b/>
          <w:bCs/>
          <w:sz w:val="24"/>
          <w:szCs w:val="24"/>
          <w:u w:val="single"/>
        </w:rPr>
        <w:t xml:space="preserve"> ACTIVITIES:</w:t>
      </w:r>
    </w:p>
    <w:p w14:paraId="208E5267" w14:textId="77777777" w:rsidR="00D32199" w:rsidRPr="0072622D" w:rsidRDefault="00D32199" w:rsidP="00D32199">
      <w:pPr>
        <w:pStyle w:val="ListParagraph"/>
        <w:numPr>
          <w:ilvl w:val="1"/>
          <w:numId w:val="2"/>
        </w:numPr>
        <w:spacing w:after="0"/>
        <w:rPr>
          <w:rFonts w:ascii="Arial" w:hAnsi="Arial" w:cs="Arial"/>
          <w:sz w:val="24"/>
          <w:szCs w:val="24"/>
        </w:rPr>
      </w:pPr>
      <w:r w:rsidRPr="0072622D">
        <w:rPr>
          <w:rFonts w:ascii="Arial" w:hAnsi="Arial" w:cs="Arial"/>
          <w:sz w:val="24"/>
          <w:szCs w:val="24"/>
        </w:rPr>
        <w:t>Travel. The reimbursement rate for mileage charged to Department funded programs cannot exceed the reimbursement rate allowed for state employees. (5 M.R.S.A. §1541(13)(A)).</w:t>
      </w:r>
    </w:p>
    <w:p w14:paraId="7667A910" w14:textId="77777777" w:rsidR="00D32199" w:rsidRPr="0072622D" w:rsidRDefault="00D32199" w:rsidP="00D32199">
      <w:pPr>
        <w:pStyle w:val="ListParagraph"/>
        <w:numPr>
          <w:ilvl w:val="1"/>
          <w:numId w:val="2"/>
        </w:numPr>
        <w:spacing w:after="0"/>
        <w:rPr>
          <w:rFonts w:ascii="Arial" w:hAnsi="Arial" w:cs="Arial"/>
          <w:sz w:val="24"/>
          <w:szCs w:val="24"/>
        </w:rPr>
      </w:pPr>
      <w:r w:rsidRPr="0072622D">
        <w:rPr>
          <w:rFonts w:ascii="Arial" w:hAnsi="Arial" w:cs="Arial"/>
          <w:sz w:val="24"/>
          <w:szCs w:val="24"/>
        </w:rPr>
        <w:t>Any other exceptions to Uniform Guidance are allowable only with prior written approval from the Department and must be offset against identified unrestricted non-Federal revenue.</w:t>
      </w:r>
    </w:p>
    <w:p w14:paraId="01CDB032" w14:textId="77777777" w:rsidR="00D32199" w:rsidRPr="0072622D" w:rsidRDefault="00D32199" w:rsidP="00D32199">
      <w:pPr>
        <w:pStyle w:val="ListParagraph"/>
        <w:spacing w:after="0"/>
        <w:ind w:left="360"/>
        <w:rPr>
          <w:rFonts w:ascii="Arial" w:hAnsi="Arial" w:cs="Arial"/>
          <w:sz w:val="24"/>
          <w:szCs w:val="24"/>
        </w:rPr>
      </w:pPr>
    </w:p>
    <w:p w14:paraId="4AED1880" w14:textId="5ACA2A5F" w:rsidR="00D32199" w:rsidRPr="0072622D" w:rsidRDefault="00D32199" w:rsidP="00D32199">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MAINECARE REGULATIONS:</w:t>
      </w:r>
      <w:r w:rsidRPr="0072622D">
        <w:rPr>
          <w:rFonts w:ascii="Arial" w:hAnsi="Arial" w:cs="Arial"/>
          <w:sz w:val="24"/>
          <w:szCs w:val="24"/>
        </w:rPr>
        <w:t xml:space="preserve"> Providers who receive MaineCare funds will assure that their programmatic and financial management policies and procedures are in accordance with applicable MaineCare regulations and that their staff members are familiar with the requirements of the applicable MaineCare service they are providing.  Providers will ensure that they </w:t>
      </w:r>
      <w:proofErr w:type="gramStart"/>
      <w:r w:rsidRPr="0072622D">
        <w:rPr>
          <w:rFonts w:ascii="Arial" w:hAnsi="Arial" w:cs="Arial"/>
          <w:sz w:val="24"/>
          <w:szCs w:val="24"/>
        </w:rPr>
        <w:t>are in compliance with</w:t>
      </w:r>
      <w:proofErr w:type="gramEnd"/>
      <w:r w:rsidRPr="0072622D">
        <w:rPr>
          <w:rFonts w:ascii="Arial" w:hAnsi="Arial" w:cs="Arial"/>
          <w:sz w:val="24"/>
          <w:szCs w:val="24"/>
        </w:rPr>
        <w:t xml:space="preserve"> the applicable MaineCare regulation prior to billing for the service.</w:t>
      </w:r>
    </w:p>
    <w:p w14:paraId="04D1B209" w14:textId="77777777" w:rsidR="00D32199" w:rsidRPr="0072622D" w:rsidRDefault="00D32199" w:rsidP="00D32199">
      <w:pPr>
        <w:pStyle w:val="ListParagraph"/>
        <w:spacing w:after="0"/>
        <w:ind w:left="360"/>
        <w:rPr>
          <w:rFonts w:ascii="Arial" w:hAnsi="Arial" w:cs="Arial"/>
          <w:sz w:val="24"/>
          <w:szCs w:val="24"/>
        </w:rPr>
      </w:pPr>
    </w:p>
    <w:p w14:paraId="7BA7AAFA" w14:textId="2BE8FA3F" w:rsidR="00D32199" w:rsidRPr="0072622D" w:rsidRDefault="00D32199" w:rsidP="00D32199">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REVENUE MAXIMIZATION:</w:t>
      </w:r>
      <w:r w:rsidRPr="0072622D">
        <w:rPr>
          <w:rFonts w:ascii="Arial" w:hAnsi="Arial" w:cs="Arial"/>
          <w:sz w:val="24"/>
          <w:szCs w:val="24"/>
        </w:rPr>
        <w:t xml:space="preserve"> The Provider shall conduct its services in such a way as to maximize revenues from MaineCare and other third-party sources such as private insurance as may be available to reduce the need for funds from the Department. Agreement funds may not be used to pay for services that are reimbursable by other third-party sources, such as private health insurance and MaineCare, under any circumstances. It is the Provider’s obligation to seek and obtain reimbursement from other third-party sources for any reimbursable services provided to covered individuals. </w:t>
      </w:r>
    </w:p>
    <w:p w14:paraId="6A57435C" w14:textId="77777777" w:rsidR="00D32199" w:rsidRPr="0072622D" w:rsidRDefault="00D32199" w:rsidP="00D32199">
      <w:pPr>
        <w:pStyle w:val="ListParagraph"/>
        <w:spacing w:after="0"/>
        <w:ind w:left="360"/>
        <w:rPr>
          <w:rFonts w:ascii="Arial" w:hAnsi="Arial" w:cs="Arial"/>
          <w:sz w:val="24"/>
          <w:szCs w:val="24"/>
        </w:rPr>
      </w:pPr>
    </w:p>
    <w:p w14:paraId="58B70DE1" w14:textId="135EB77A" w:rsidR="00650BB6" w:rsidRPr="0072622D" w:rsidRDefault="00650BB6" w:rsidP="00650BB6">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NOTIFICATION AND REPORTING:</w:t>
      </w:r>
      <w:r w:rsidRPr="0072622D">
        <w:rPr>
          <w:rFonts w:ascii="Arial" w:hAnsi="Arial" w:cs="Arial"/>
          <w:sz w:val="24"/>
          <w:szCs w:val="24"/>
        </w:rPr>
        <w:t xml:space="preserve">  The Provider shall follow all policies, procedures, and protocols developed by the Department, including procedures and protocols for </w:t>
      </w:r>
      <w:proofErr w:type="gramStart"/>
      <w:r w:rsidRPr="0072622D">
        <w:rPr>
          <w:rFonts w:ascii="Arial" w:hAnsi="Arial" w:cs="Arial"/>
          <w:sz w:val="24"/>
          <w:szCs w:val="24"/>
        </w:rPr>
        <w:t>tracking</w:t>
      </w:r>
      <w:proofErr w:type="gramEnd"/>
      <w:r w:rsidRPr="0072622D">
        <w:rPr>
          <w:rFonts w:ascii="Arial" w:hAnsi="Arial" w:cs="Arial"/>
          <w:sz w:val="24"/>
          <w:szCs w:val="24"/>
        </w:rPr>
        <w:t xml:space="preserve">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019C4304" w14:textId="77777777" w:rsidR="00650BB6" w:rsidRPr="0072622D" w:rsidRDefault="00650BB6" w:rsidP="00650BB6">
      <w:pPr>
        <w:pStyle w:val="ListParagraph"/>
        <w:spacing w:after="0"/>
        <w:ind w:left="360"/>
        <w:rPr>
          <w:rFonts w:ascii="Arial" w:hAnsi="Arial" w:cs="Arial"/>
          <w:sz w:val="24"/>
          <w:szCs w:val="24"/>
        </w:rPr>
      </w:pPr>
    </w:p>
    <w:p w14:paraId="51147343" w14:textId="23EDDB6E" w:rsidR="00650BB6" w:rsidRPr="0072622D" w:rsidRDefault="00650BB6" w:rsidP="00650BB6">
      <w:pPr>
        <w:pStyle w:val="ListParagraph"/>
        <w:spacing w:after="0"/>
        <w:ind w:left="360"/>
        <w:rPr>
          <w:rFonts w:ascii="Arial" w:hAnsi="Arial" w:cs="Arial"/>
          <w:sz w:val="24"/>
          <w:szCs w:val="24"/>
        </w:rPr>
      </w:pPr>
      <w:r w:rsidRPr="0072622D">
        <w:rPr>
          <w:rFonts w:ascii="Arial" w:hAnsi="Arial" w:cs="Arial"/>
          <w:sz w:val="24"/>
          <w:szCs w:val="24"/>
        </w:rPr>
        <w:t xml:space="preserve">Insofar as the Provider serves members of the class outlined in the “Community Consent Decree", Consumer Advisory Board v. DHHS Commissioner, No. 91-321-P-C (D. Ct. Me.), all terms and </w:t>
      </w:r>
      <w:r w:rsidRPr="0072622D">
        <w:rPr>
          <w:rFonts w:ascii="Arial" w:hAnsi="Arial" w:cs="Arial"/>
          <w:sz w:val="24"/>
          <w:szCs w:val="24"/>
        </w:rPr>
        <w:lastRenderedPageBreak/>
        <w:t>conditions of the Community Consent Decree are applicable to this Agreement.  All Providers must pay particular attention to the Grievance process available to persons with developmental disabilities served by the Provider and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  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and responsibilities and include, in writing, contact information for the individual(s) responsible for responding to complaints or grievances on behalf of the Provider.</w:t>
      </w:r>
    </w:p>
    <w:p w14:paraId="3A1F0CAA" w14:textId="62C38E7F" w:rsidR="00FC16A9" w:rsidRPr="0072622D" w:rsidRDefault="00FC16A9" w:rsidP="00D32199">
      <w:pPr>
        <w:pStyle w:val="ListParagraph"/>
        <w:spacing w:after="0"/>
        <w:ind w:left="360"/>
        <w:rPr>
          <w:rFonts w:ascii="Arial" w:hAnsi="Arial" w:cs="Arial"/>
          <w:sz w:val="24"/>
          <w:szCs w:val="24"/>
        </w:rPr>
      </w:pPr>
    </w:p>
    <w:p w14:paraId="561F4749" w14:textId="1F48F879" w:rsidR="00650BB6" w:rsidRPr="0072622D" w:rsidRDefault="00650BB6" w:rsidP="00650BB6">
      <w:pPr>
        <w:pStyle w:val="ListParagraph"/>
        <w:numPr>
          <w:ilvl w:val="0"/>
          <w:numId w:val="2"/>
        </w:numPr>
        <w:spacing w:after="0"/>
        <w:rPr>
          <w:rFonts w:ascii="Arial" w:hAnsi="Arial" w:cs="Arial"/>
          <w:sz w:val="24"/>
          <w:szCs w:val="24"/>
        </w:rPr>
      </w:pPr>
      <w:r w:rsidRPr="0072622D">
        <w:rPr>
          <w:rFonts w:ascii="Arial" w:hAnsi="Arial" w:cs="Arial"/>
          <w:b/>
          <w:bCs/>
          <w:sz w:val="24"/>
          <w:szCs w:val="24"/>
          <w:u w:val="single"/>
        </w:rPr>
        <w:t>TERMINATION OR CHANGE OF WORK PERFORMANCE:</w:t>
      </w:r>
      <w:r w:rsidRPr="0072622D">
        <w:rPr>
          <w:rFonts w:ascii="Arial" w:hAnsi="Arial" w:cs="Arial"/>
          <w:sz w:val="24"/>
          <w:szCs w:val="24"/>
        </w:rPr>
        <w:t xml:space="preserve"> In addition to the requirements of Rider D, Section 15, the written communication shall be specific and also include, and not be limited to, the date of expected closure, description of any and all 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28532C01" w14:textId="0519630D" w:rsidR="00650BB6" w:rsidRDefault="00650BB6" w:rsidP="00650BB6">
      <w:pPr>
        <w:pStyle w:val="ListParagraph"/>
        <w:numPr>
          <w:ilvl w:val="1"/>
          <w:numId w:val="2"/>
        </w:numPr>
        <w:spacing w:after="0"/>
        <w:rPr>
          <w:rFonts w:ascii="Arial" w:hAnsi="Arial" w:cs="Arial"/>
          <w:sz w:val="24"/>
          <w:szCs w:val="24"/>
        </w:rPr>
      </w:pPr>
      <w:r w:rsidRPr="0072622D">
        <w:rPr>
          <w:rFonts w:ascii="Arial" w:hAnsi="Arial" w:cs="Arial"/>
          <w:sz w:val="24"/>
          <w:szCs w:val="24"/>
        </w:rPr>
        <w:t>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organizational structure as defined by the governing body; (5) Changes in the executive director or name or ownership of the agency; or 6) Relocation of services.  For MaineCare funded services, the Provider shall give due process notification as required by MaineCare regulations, Chapter I, §1.03-4 of the MaineCare Benefits Manual.  In addition to MaineCare Benefits Manual Chapter I, §1.03-4, the following shall apply:</w:t>
      </w:r>
    </w:p>
    <w:p w14:paraId="39F98D17" w14:textId="77777777" w:rsidR="00B778FD" w:rsidRPr="0072622D" w:rsidRDefault="00B778FD" w:rsidP="00B778FD">
      <w:pPr>
        <w:pStyle w:val="ListParagraph"/>
        <w:spacing w:after="0"/>
        <w:rPr>
          <w:rFonts w:ascii="Arial" w:hAnsi="Arial" w:cs="Arial"/>
          <w:sz w:val="24"/>
          <w:szCs w:val="24"/>
        </w:rPr>
      </w:pPr>
    </w:p>
    <w:p w14:paraId="307CC86C" w14:textId="35A67B01" w:rsidR="00650BB6" w:rsidRDefault="00650BB6" w:rsidP="00650BB6">
      <w:pPr>
        <w:pStyle w:val="ListParagraph"/>
        <w:numPr>
          <w:ilvl w:val="2"/>
          <w:numId w:val="2"/>
        </w:numPr>
        <w:spacing w:after="0"/>
        <w:rPr>
          <w:rFonts w:ascii="Arial" w:hAnsi="Arial" w:cs="Arial"/>
          <w:sz w:val="24"/>
          <w:szCs w:val="24"/>
        </w:rPr>
      </w:pPr>
      <w:r w:rsidRPr="0072622D">
        <w:rPr>
          <w:rFonts w:ascii="Arial" w:hAnsi="Arial" w:cs="Arial"/>
          <w:sz w:val="24"/>
          <w:szCs w:val="24"/>
        </w:rPr>
        <w:t xml:space="preserve">If a provider provides services under this Agreement and chooses to voluntarily terminate participation in MaineCare or voluntarily terminates State funded services funded in whole or part by this agreement, the provider must inform the Program Administrator of the intent.  This notice should be concurrent with the notice to MaineCare as required in Chapter I.   The provider is expected to work cooperatively with the Department on the planning the transition to replacement services for the affected members.  </w:t>
      </w:r>
      <w:proofErr w:type="gramStart"/>
      <w:r w:rsidRPr="0072622D">
        <w:rPr>
          <w:rFonts w:ascii="Arial" w:hAnsi="Arial" w:cs="Arial"/>
          <w:sz w:val="24"/>
          <w:szCs w:val="24"/>
        </w:rPr>
        <w:t>In order to</w:t>
      </w:r>
      <w:proofErr w:type="gramEnd"/>
      <w:r w:rsidRPr="0072622D">
        <w:rPr>
          <w:rFonts w:ascii="Arial" w:hAnsi="Arial" w:cs="Arial"/>
          <w:sz w:val="24"/>
          <w:szCs w:val="24"/>
        </w:rPr>
        <w:t xml:space="preserve"> facilitate continuity of services for the member(s), the Department reserves the right to require that the provider continue to provide necessary services until appropriate replacement services are secured for the member(s).</w:t>
      </w:r>
    </w:p>
    <w:p w14:paraId="4EC9B26C" w14:textId="77777777" w:rsidR="00B778FD" w:rsidRPr="0072622D" w:rsidRDefault="00B778FD" w:rsidP="00B778FD">
      <w:pPr>
        <w:pStyle w:val="ListParagraph"/>
        <w:spacing w:after="0"/>
        <w:ind w:left="1080"/>
        <w:rPr>
          <w:rFonts w:ascii="Arial" w:hAnsi="Arial" w:cs="Arial"/>
          <w:sz w:val="24"/>
          <w:szCs w:val="24"/>
        </w:rPr>
      </w:pPr>
    </w:p>
    <w:p w14:paraId="6744C14B" w14:textId="334B1B3E" w:rsidR="00650BB6" w:rsidRPr="0072622D" w:rsidRDefault="00650BB6" w:rsidP="00650BB6">
      <w:pPr>
        <w:pStyle w:val="ListParagraph"/>
        <w:numPr>
          <w:ilvl w:val="2"/>
          <w:numId w:val="2"/>
        </w:numPr>
        <w:spacing w:after="0"/>
        <w:rPr>
          <w:rFonts w:ascii="Arial" w:hAnsi="Arial" w:cs="Arial"/>
          <w:sz w:val="24"/>
          <w:szCs w:val="24"/>
        </w:rPr>
      </w:pPr>
      <w:r w:rsidRPr="0072622D">
        <w:rPr>
          <w:rFonts w:ascii="Arial" w:hAnsi="Arial" w:cs="Arial"/>
          <w:sz w:val="24"/>
          <w:szCs w:val="24"/>
        </w:rPr>
        <w:t xml:space="preserve">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w:t>
      </w:r>
      <w:proofErr w:type="gramStart"/>
      <w:r w:rsidRPr="0072622D">
        <w:rPr>
          <w:rFonts w:ascii="Arial" w:hAnsi="Arial" w:cs="Arial"/>
          <w:sz w:val="24"/>
          <w:szCs w:val="24"/>
        </w:rPr>
        <w:t>Department</w:t>
      </w:r>
      <w:proofErr w:type="gramEnd"/>
      <w:r w:rsidRPr="0072622D">
        <w:rPr>
          <w:rFonts w:ascii="Arial" w:hAnsi="Arial" w:cs="Arial"/>
          <w:sz w:val="24"/>
          <w:szCs w:val="24"/>
        </w:rPr>
        <w:t xml:space="preserve"> and any potential replacement provider on the transition of services.  </w:t>
      </w:r>
      <w:proofErr w:type="gramStart"/>
      <w:r w:rsidRPr="0072622D">
        <w:rPr>
          <w:rFonts w:ascii="Arial" w:hAnsi="Arial" w:cs="Arial"/>
          <w:sz w:val="24"/>
          <w:szCs w:val="24"/>
        </w:rPr>
        <w:t>In order to</w:t>
      </w:r>
      <w:proofErr w:type="gramEnd"/>
      <w:r w:rsidRPr="0072622D">
        <w:rPr>
          <w:rFonts w:ascii="Arial" w:hAnsi="Arial" w:cs="Arial"/>
          <w:sz w:val="24"/>
          <w:szCs w:val="24"/>
        </w:rPr>
        <w:t xml:space="preserve"> facilitate continuity of services for the member(s), the Department reserves the right to request that the provider continue to provide necessary services until appropriate replacement services are secured for the member(s).</w:t>
      </w:r>
    </w:p>
    <w:p w14:paraId="65DF128F" w14:textId="77777777" w:rsidR="0088268A" w:rsidRPr="0088268A" w:rsidRDefault="0088268A" w:rsidP="0088268A">
      <w:pPr>
        <w:spacing w:after="0"/>
        <w:rPr>
          <w:rFonts w:ascii="Arial" w:hAnsi="Arial" w:cs="Arial"/>
          <w:sz w:val="24"/>
          <w:szCs w:val="24"/>
        </w:rPr>
      </w:pPr>
    </w:p>
    <w:sectPr w:rsidR="0088268A" w:rsidRPr="0088268A" w:rsidSect="00742668">
      <w:footerReference w:type="default" r:id="rId9"/>
      <w:pgSz w:w="12240" w:h="15840"/>
      <w:pgMar w:top="72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B07" w14:textId="77777777" w:rsidR="003A5D30" w:rsidRDefault="003A5D30" w:rsidP="003A5D30">
      <w:pPr>
        <w:spacing w:after="0" w:line="240" w:lineRule="auto"/>
      </w:pPr>
      <w:r>
        <w:separator/>
      </w:r>
    </w:p>
  </w:endnote>
  <w:endnote w:type="continuationSeparator" w:id="0">
    <w:p w14:paraId="18B29976" w14:textId="77777777" w:rsidR="003A5D30" w:rsidRDefault="003A5D30" w:rsidP="003A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444469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A71ADEA" w14:textId="0139EAD0" w:rsidR="003A5D30" w:rsidRPr="003A5D30" w:rsidRDefault="00742668" w:rsidP="00742668">
            <w:pPr>
              <w:pStyle w:val="Footer"/>
              <w:jc w:val="center"/>
              <w:rPr>
                <w:rFonts w:ascii="Arial" w:hAnsi="Arial" w:cs="Arial"/>
                <w:sz w:val="20"/>
                <w:szCs w:val="20"/>
              </w:rPr>
            </w:pPr>
            <w:r>
              <w:rPr>
                <w:rFonts w:ascii="Arial" w:hAnsi="Arial" w:cs="Arial"/>
                <w:sz w:val="20"/>
                <w:szCs w:val="20"/>
              </w:rPr>
              <w:t>DHHS Rider D/</w:t>
            </w:r>
            <w:r w:rsidR="00650BB6">
              <w:rPr>
                <w:rFonts w:ascii="Arial" w:hAnsi="Arial" w:cs="Arial"/>
                <w:sz w:val="20"/>
                <w:szCs w:val="20"/>
              </w:rPr>
              <w:t>Subrecipient</w:t>
            </w:r>
            <w:r>
              <w:rPr>
                <w:rFonts w:ascii="Arial" w:hAnsi="Arial" w:cs="Arial"/>
                <w:sz w:val="20"/>
                <w:szCs w:val="20"/>
              </w:rPr>
              <w:t xml:space="preserve"> Rev </w:t>
            </w:r>
            <w:r w:rsidR="00F65528">
              <w:rPr>
                <w:rFonts w:ascii="Arial" w:hAnsi="Arial" w:cs="Arial"/>
                <w:sz w:val="20"/>
                <w:szCs w:val="20"/>
              </w:rPr>
              <w:t>Mar</w:t>
            </w:r>
            <w:r>
              <w:rPr>
                <w:rFonts w:ascii="Arial" w:hAnsi="Arial" w:cs="Arial"/>
                <w:sz w:val="20"/>
                <w:szCs w:val="20"/>
              </w:rPr>
              <w:t>-2</w:t>
            </w:r>
            <w:r w:rsidR="009847D4">
              <w:rPr>
                <w:rFonts w:ascii="Arial" w:hAnsi="Arial" w:cs="Arial"/>
                <w:sz w:val="20"/>
                <w:szCs w:val="20"/>
              </w:rPr>
              <w:t>4</w:t>
            </w:r>
            <w:r>
              <w:rPr>
                <w:rFonts w:ascii="Arial" w:hAnsi="Arial" w:cs="Arial"/>
                <w:sz w:val="20"/>
                <w:szCs w:val="20"/>
              </w:rPr>
              <w:tab/>
            </w:r>
            <w:r>
              <w:rPr>
                <w:rFonts w:ascii="Arial" w:hAnsi="Arial" w:cs="Arial"/>
                <w:sz w:val="20"/>
                <w:szCs w:val="20"/>
              </w:rPr>
              <w:tab/>
            </w:r>
            <w:r w:rsidR="003A5D30" w:rsidRPr="003A5D30">
              <w:rPr>
                <w:rFonts w:ascii="Arial" w:hAnsi="Arial" w:cs="Arial"/>
                <w:sz w:val="20"/>
                <w:szCs w:val="20"/>
              </w:rPr>
              <w:t xml:space="preserve">Page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PAGE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r w:rsidR="003A5D30" w:rsidRPr="003A5D30">
              <w:rPr>
                <w:rFonts w:ascii="Arial" w:hAnsi="Arial" w:cs="Arial"/>
                <w:sz w:val="20"/>
                <w:szCs w:val="20"/>
              </w:rPr>
              <w:t xml:space="preserve"> of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NUMPAGES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p>
        </w:sdtContent>
      </w:sdt>
    </w:sdtContent>
  </w:sdt>
  <w:p w14:paraId="46648A50" w14:textId="77777777" w:rsidR="003A5D30" w:rsidRDefault="003A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E4CB" w14:textId="77777777" w:rsidR="003A5D30" w:rsidRDefault="003A5D30" w:rsidP="003A5D30">
      <w:pPr>
        <w:spacing w:after="0" w:line="240" w:lineRule="auto"/>
      </w:pPr>
      <w:r>
        <w:separator/>
      </w:r>
    </w:p>
  </w:footnote>
  <w:footnote w:type="continuationSeparator" w:id="0">
    <w:p w14:paraId="7C4BBE2E" w14:textId="77777777" w:rsidR="003A5D30" w:rsidRDefault="003A5D30" w:rsidP="003A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15"/>
    <w:multiLevelType w:val="multilevel"/>
    <w:tmpl w:val="0E6CA75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B4AE5"/>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41992161">
    <w:abstractNumId w:val="1"/>
  </w:num>
  <w:num w:numId="2" w16cid:durableId="10698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02"/>
    <w:rsid w:val="00003614"/>
    <w:rsid w:val="000B2280"/>
    <w:rsid w:val="000D3102"/>
    <w:rsid w:val="001C1FB3"/>
    <w:rsid w:val="00266D15"/>
    <w:rsid w:val="00276E57"/>
    <w:rsid w:val="0037011E"/>
    <w:rsid w:val="00373E98"/>
    <w:rsid w:val="00377101"/>
    <w:rsid w:val="003A5D30"/>
    <w:rsid w:val="00441DA1"/>
    <w:rsid w:val="004C5DE5"/>
    <w:rsid w:val="005044AA"/>
    <w:rsid w:val="005B25FA"/>
    <w:rsid w:val="005F28B4"/>
    <w:rsid w:val="0063405D"/>
    <w:rsid w:val="00636315"/>
    <w:rsid w:val="00650BB6"/>
    <w:rsid w:val="00667E8E"/>
    <w:rsid w:val="006D4033"/>
    <w:rsid w:val="0072622D"/>
    <w:rsid w:val="00742668"/>
    <w:rsid w:val="007441B6"/>
    <w:rsid w:val="0085474C"/>
    <w:rsid w:val="0088268A"/>
    <w:rsid w:val="009847D4"/>
    <w:rsid w:val="009A200C"/>
    <w:rsid w:val="00B21B30"/>
    <w:rsid w:val="00B778FD"/>
    <w:rsid w:val="00BA565B"/>
    <w:rsid w:val="00BD6B04"/>
    <w:rsid w:val="00C12A89"/>
    <w:rsid w:val="00C866A2"/>
    <w:rsid w:val="00D21A73"/>
    <w:rsid w:val="00D32199"/>
    <w:rsid w:val="00E32327"/>
    <w:rsid w:val="00F65528"/>
    <w:rsid w:val="00FB575F"/>
    <w:rsid w:val="00FC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6FF9A"/>
  <w15:chartTrackingRefBased/>
  <w15:docId w15:val="{6C3835F3-B461-472D-A3CD-4F8CECC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66D15"/>
    <w:pPr>
      <w:numPr>
        <w:numId w:val="1"/>
      </w:numPr>
    </w:pPr>
  </w:style>
  <w:style w:type="character" w:customStyle="1" w:styleId="DefaultTextChar">
    <w:name w:val="Default Text Char"/>
    <w:basedOn w:val="DefaultParagraphFont"/>
    <w:link w:val="DefaultText"/>
    <w:locked/>
    <w:rsid w:val="000D3102"/>
  </w:style>
  <w:style w:type="paragraph" w:customStyle="1" w:styleId="DefaultText">
    <w:name w:val="Default Text"/>
    <w:basedOn w:val="Normal"/>
    <w:link w:val="DefaultTextChar"/>
    <w:rsid w:val="000D3102"/>
    <w:pPr>
      <w:autoSpaceDE w:val="0"/>
      <w:autoSpaceDN w:val="0"/>
      <w:spacing w:after="0" w:line="240" w:lineRule="auto"/>
    </w:pPr>
  </w:style>
  <w:style w:type="character" w:customStyle="1" w:styleId="InitialStyle">
    <w:name w:val="InitialStyle"/>
    <w:basedOn w:val="DefaultParagraphFont"/>
    <w:rsid w:val="000D3102"/>
  </w:style>
  <w:style w:type="paragraph" w:styleId="ListParagraph">
    <w:name w:val="List Paragraph"/>
    <w:basedOn w:val="Normal"/>
    <w:uiPriority w:val="34"/>
    <w:qFormat/>
    <w:rsid w:val="000D3102"/>
    <w:pPr>
      <w:ind w:left="720"/>
      <w:contextualSpacing/>
    </w:pPr>
  </w:style>
  <w:style w:type="character" w:styleId="Hyperlink">
    <w:name w:val="Hyperlink"/>
    <w:basedOn w:val="DefaultParagraphFont"/>
    <w:uiPriority w:val="99"/>
    <w:unhideWhenUsed/>
    <w:rsid w:val="00B21B30"/>
    <w:rPr>
      <w:color w:val="0563C1" w:themeColor="hyperlink"/>
      <w:u w:val="single"/>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styleId="Header">
    <w:name w:val="header"/>
    <w:basedOn w:val="Normal"/>
    <w:link w:val="HeaderChar"/>
    <w:uiPriority w:val="99"/>
    <w:unhideWhenUsed/>
    <w:rsid w:val="003A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30"/>
  </w:style>
  <w:style w:type="paragraph" w:styleId="Footer">
    <w:name w:val="footer"/>
    <w:basedOn w:val="Normal"/>
    <w:link w:val="FooterChar"/>
    <w:uiPriority w:val="99"/>
    <w:unhideWhenUsed/>
    <w:rsid w:val="003A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30"/>
  </w:style>
  <w:style w:type="paragraph" w:styleId="Revision">
    <w:name w:val="Revision"/>
    <w:hidden/>
    <w:uiPriority w:val="99"/>
    <w:semiHidden/>
    <w:rsid w:val="003A5D30"/>
    <w:pPr>
      <w:spacing w:after="0" w:line="240" w:lineRule="auto"/>
    </w:p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audit/social-services/rules.shtml" TargetMode="External"/><Relationship Id="rId3" Type="http://schemas.openxmlformats.org/officeDocument/2006/relationships/settings" Target="settings.xml"/><Relationship Id="rId7" Type="http://schemas.openxmlformats.org/officeDocument/2006/relationships/hyperlink" Target="https://www.gsa.gov/forms-library/disclosure-lobby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Lopatosky, Jim</dc:creator>
  <cp:keywords/>
  <dc:description/>
  <cp:lastModifiedBy>Lopatosky, Jim</cp:lastModifiedBy>
  <cp:revision>4</cp:revision>
  <dcterms:created xsi:type="dcterms:W3CDTF">2024-03-20T14:46:00Z</dcterms:created>
  <dcterms:modified xsi:type="dcterms:W3CDTF">2024-03-20T15:04:00Z</dcterms:modified>
</cp:coreProperties>
</file>