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E3F2" w14:textId="77777777" w:rsidR="00460D22" w:rsidRPr="007A45F4" w:rsidRDefault="00F6500A">
      <w:pPr>
        <w:pStyle w:val="BodyText"/>
        <w:spacing w:before="39"/>
        <w:ind w:left="120"/>
        <w:rPr>
          <w:sz w:val="21"/>
          <w:szCs w:val="21"/>
        </w:rPr>
      </w:pPr>
      <w:r w:rsidRPr="007A45F4">
        <w:rPr>
          <w:sz w:val="21"/>
          <w:szCs w:val="21"/>
        </w:rPr>
        <w:t xml:space="preserve">Good </w:t>
      </w:r>
      <w:r w:rsidRPr="007A45F4">
        <w:rPr>
          <w:spacing w:val="-2"/>
          <w:sz w:val="21"/>
          <w:szCs w:val="21"/>
        </w:rPr>
        <w:t>Afternoon,</w:t>
      </w:r>
    </w:p>
    <w:p w14:paraId="7DDEE3F3" w14:textId="77777777" w:rsidR="00460D22" w:rsidRPr="007A45F4" w:rsidRDefault="00460D22">
      <w:pPr>
        <w:pStyle w:val="BodyText"/>
        <w:rPr>
          <w:sz w:val="21"/>
          <w:szCs w:val="21"/>
        </w:rPr>
      </w:pPr>
    </w:p>
    <w:p w14:paraId="7DDEE3F5" w14:textId="07B6E657" w:rsidR="00460D22" w:rsidRPr="007A45F4" w:rsidRDefault="00F6500A" w:rsidP="007A45F4">
      <w:pPr>
        <w:pStyle w:val="BodyText"/>
        <w:ind w:left="120"/>
        <w:rPr>
          <w:sz w:val="21"/>
          <w:szCs w:val="21"/>
        </w:rPr>
      </w:pPr>
      <w:r w:rsidRPr="007A45F4">
        <w:rPr>
          <w:sz w:val="21"/>
          <w:szCs w:val="21"/>
        </w:rPr>
        <w:t>The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Office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of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Career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and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Technical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and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Adult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Education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has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indicated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we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will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have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the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estimated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 xml:space="preserve">state allocations </w:t>
      </w:r>
      <w:r w:rsidR="007A45F4" w:rsidRPr="007A45F4">
        <w:rPr>
          <w:sz w:val="21"/>
          <w:szCs w:val="21"/>
        </w:rPr>
        <w:t xml:space="preserve">at </w:t>
      </w:r>
      <w:r w:rsidRPr="007A45F4">
        <w:rPr>
          <w:sz w:val="21"/>
          <w:szCs w:val="21"/>
        </w:rPr>
        <w:t>the end of this week</w:t>
      </w:r>
      <w:r w:rsidR="007A45F4" w:rsidRPr="007A45F4">
        <w:rPr>
          <w:sz w:val="21"/>
          <w:szCs w:val="21"/>
        </w:rPr>
        <w:t>.</w:t>
      </w:r>
      <w:r w:rsidRPr="007A45F4">
        <w:rPr>
          <w:sz w:val="21"/>
          <w:szCs w:val="21"/>
        </w:rPr>
        <w:t xml:space="preserve"> I will send out award amounts as soon as that is received.</w:t>
      </w:r>
      <w:r w:rsidR="007A45F4" w:rsidRPr="007A45F4">
        <w:rPr>
          <w:sz w:val="21"/>
          <w:szCs w:val="21"/>
        </w:rPr>
        <w:br/>
      </w:r>
    </w:p>
    <w:p w14:paraId="7DDEE3F6" w14:textId="3AC43F82" w:rsidR="00460D22" w:rsidRPr="007A45F4" w:rsidRDefault="00F6500A">
      <w:pPr>
        <w:pStyle w:val="BodyText"/>
        <w:ind w:left="119" w:right="201"/>
        <w:rPr>
          <w:sz w:val="21"/>
          <w:szCs w:val="21"/>
        </w:rPr>
      </w:pPr>
      <w:r w:rsidRPr="007A45F4">
        <w:rPr>
          <w:sz w:val="21"/>
          <w:szCs w:val="21"/>
        </w:rPr>
        <w:t xml:space="preserve">The State Board of Education </w:t>
      </w:r>
      <w:r w:rsidR="007A45F4" w:rsidRPr="007A45F4">
        <w:rPr>
          <w:sz w:val="21"/>
          <w:szCs w:val="21"/>
        </w:rPr>
        <w:t xml:space="preserve">will be using </w:t>
      </w:r>
      <w:r w:rsidRPr="007A45F4">
        <w:rPr>
          <w:sz w:val="21"/>
          <w:szCs w:val="21"/>
        </w:rPr>
        <w:t>the</w:t>
      </w:r>
      <w:r w:rsidR="00612600" w:rsidRPr="007A45F4">
        <w:rPr>
          <w:sz w:val="21"/>
          <w:szCs w:val="21"/>
        </w:rPr>
        <w:t xml:space="preserve"> combined FY22 and FY23</w:t>
      </w:r>
      <w:r w:rsidRPr="007A45F4">
        <w:rPr>
          <w:sz w:val="21"/>
          <w:szCs w:val="21"/>
        </w:rPr>
        <w:t xml:space="preserve"> Reserve funds for special projects</w:t>
      </w:r>
      <w:r w:rsidR="00612600" w:rsidRPr="007A45F4">
        <w:rPr>
          <w:sz w:val="21"/>
          <w:szCs w:val="21"/>
        </w:rPr>
        <w:t xml:space="preserve"> in FY23</w:t>
      </w:r>
      <w:r w:rsidRPr="007A45F4">
        <w:rPr>
          <w:sz w:val="21"/>
          <w:szCs w:val="21"/>
        </w:rPr>
        <w:t>.</w:t>
      </w:r>
      <w:r w:rsidRPr="007A45F4">
        <w:rPr>
          <w:spacing w:val="40"/>
          <w:sz w:val="21"/>
          <w:szCs w:val="21"/>
        </w:rPr>
        <w:t xml:space="preserve"> </w:t>
      </w:r>
    </w:p>
    <w:p w14:paraId="7DDEE3F8" w14:textId="6C61CBEE" w:rsidR="00460D22" w:rsidRPr="007A45F4" w:rsidRDefault="00F6500A">
      <w:pPr>
        <w:pStyle w:val="BodyText"/>
        <w:ind w:left="119" w:right="201"/>
        <w:rPr>
          <w:sz w:val="21"/>
          <w:szCs w:val="21"/>
        </w:rPr>
      </w:pPr>
      <w:r>
        <w:rPr>
          <w:sz w:val="21"/>
          <w:szCs w:val="21"/>
        </w:rPr>
        <w:t>U</w:t>
      </w:r>
      <w:r w:rsidR="00612600" w:rsidRPr="007A45F4">
        <w:rPr>
          <w:sz w:val="21"/>
          <w:szCs w:val="21"/>
        </w:rPr>
        <w:t>pcoming d</w:t>
      </w:r>
      <w:r w:rsidR="00C469EA" w:rsidRPr="007A45F4">
        <w:rPr>
          <w:sz w:val="21"/>
          <w:szCs w:val="21"/>
        </w:rPr>
        <w:t>ue dates</w:t>
      </w:r>
      <w:r w:rsidRPr="007A45F4">
        <w:rPr>
          <w:sz w:val="21"/>
          <w:szCs w:val="21"/>
        </w:rPr>
        <w:t>.</w:t>
      </w:r>
    </w:p>
    <w:p w14:paraId="7DDEE3F9" w14:textId="77777777" w:rsidR="00460D22" w:rsidRPr="007A45F4" w:rsidRDefault="00460D22">
      <w:pPr>
        <w:pStyle w:val="BodyText"/>
        <w:rPr>
          <w:sz w:val="21"/>
          <w:szCs w:val="21"/>
        </w:rPr>
      </w:pPr>
    </w:p>
    <w:p w14:paraId="3A8D0B43" w14:textId="77777777" w:rsidR="00F6500A" w:rsidRPr="007A45F4" w:rsidRDefault="00C469EA">
      <w:pPr>
        <w:pStyle w:val="BodyText"/>
        <w:rPr>
          <w:sz w:val="21"/>
          <w:szCs w:val="21"/>
        </w:rPr>
      </w:pPr>
      <w:r w:rsidRPr="007A45F4">
        <w:rPr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865"/>
      </w:tblGrid>
      <w:tr w:rsidR="00F6500A" w:rsidRPr="00F6500A" w14:paraId="333EBAB0" w14:textId="77777777" w:rsidTr="000E7DBA">
        <w:tc>
          <w:tcPr>
            <w:tcW w:w="1705" w:type="dxa"/>
          </w:tcPr>
          <w:p w14:paraId="0C8923DE" w14:textId="3FE3EC12" w:rsidR="00F6500A" w:rsidRPr="00F6500A" w:rsidRDefault="00F6500A" w:rsidP="00DA7989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11</w:t>
            </w:r>
            <w:r w:rsidRPr="00F6500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00D62B10" w14:textId="25E44E73" w:rsidR="00F6500A" w:rsidRPr="00F6500A" w:rsidRDefault="00F6500A" w:rsidP="00DA7989">
            <w:pPr>
              <w:pStyle w:val="BodyText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Grants4ME system opens for FY22 year-end reports and FY23 application</w:t>
            </w:r>
          </w:p>
        </w:tc>
      </w:tr>
      <w:tr w:rsidR="00F6500A" w:rsidRPr="00F6500A" w14:paraId="1A2528FB" w14:textId="77777777" w:rsidTr="000E7DBA">
        <w:tc>
          <w:tcPr>
            <w:tcW w:w="1705" w:type="dxa"/>
          </w:tcPr>
          <w:p w14:paraId="4D73DB0F" w14:textId="30E9BE7A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25</w:t>
            </w:r>
            <w:r w:rsidRPr="00F6500A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7865" w:type="dxa"/>
          </w:tcPr>
          <w:p w14:paraId="088CBC6C" w14:textId="77C2498C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CLNA submitted in the Grants4ME system</w:t>
            </w:r>
          </w:p>
        </w:tc>
      </w:tr>
      <w:tr w:rsidR="00F6500A" w:rsidRPr="00F6500A" w14:paraId="4441F323" w14:textId="77777777" w:rsidTr="000E7DBA">
        <w:tc>
          <w:tcPr>
            <w:tcW w:w="1705" w:type="dxa"/>
          </w:tcPr>
          <w:p w14:paraId="1800B29E" w14:textId="5725D0C6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30</w:t>
            </w:r>
            <w:r w:rsidRPr="00F6500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1EA1E7AF" w14:textId="3B1D6467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FY22 year-end reports and FY23 applications submitted in the Grants4ME system</w:t>
            </w:r>
          </w:p>
        </w:tc>
      </w:tr>
      <w:tr w:rsidR="00AE7F1B" w:rsidRPr="00F6500A" w14:paraId="697A8039" w14:textId="77777777" w:rsidTr="000E7DBA">
        <w:tc>
          <w:tcPr>
            <w:tcW w:w="1705" w:type="dxa"/>
            <w:shd w:val="clear" w:color="auto" w:fill="FFC000"/>
          </w:tcPr>
          <w:p w14:paraId="0EDDB735" w14:textId="6282B346" w:rsidR="00AE7F1B" w:rsidRDefault="00AE7F1B" w:rsidP="00DA7989">
            <w:pPr>
              <w:pStyle w:val="BodyText"/>
              <w:spacing w:before="11"/>
              <w:rPr>
                <w:sz w:val="21"/>
                <w:szCs w:val="21"/>
              </w:rPr>
            </w:pPr>
          </w:p>
        </w:tc>
        <w:tc>
          <w:tcPr>
            <w:tcW w:w="7865" w:type="dxa"/>
            <w:shd w:val="clear" w:color="auto" w:fill="FFC000"/>
          </w:tcPr>
          <w:p w14:paraId="6ACA2F03" w14:textId="1263AD3E" w:rsidR="00AE7F1B" w:rsidRPr="00F6500A" w:rsidRDefault="00AE7F1B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05FD5">
              <w:rPr>
                <w:sz w:val="21"/>
                <w:szCs w:val="21"/>
              </w:rPr>
              <w:t>LL</w:t>
            </w:r>
            <w:r>
              <w:rPr>
                <w:sz w:val="21"/>
                <w:szCs w:val="21"/>
              </w:rPr>
              <w:t xml:space="preserve"> student related data must be submitted in Synergy or MDOE’s NEO systems.  </w:t>
            </w:r>
          </w:p>
        </w:tc>
      </w:tr>
      <w:tr w:rsidR="00F6500A" w:rsidRPr="00F6500A" w14:paraId="352A4F85" w14:textId="77777777" w:rsidTr="000E7DBA">
        <w:tc>
          <w:tcPr>
            <w:tcW w:w="1705" w:type="dxa"/>
          </w:tcPr>
          <w:p w14:paraId="1EBFF765" w14:textId="77777777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</w:p>
        </w:tc>
        <w:tc>
          <w:tcPr>
            <w:tcW w:w="7865" w:type="dxa"/>
          </w:tcPr>
          <w:p w14:paraId="31195DA5" w14:textId="5D3DBFA0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ALL FY22 funds must be expended or obligated</w:t>
            </w:r>
          </w:p>
        </w:tc>
      </w:tr>
      <w:tr w:rsidR="00F6500A" w:rsidRPr="00F6500A" w14:paraId="3D1FD742" w14:textId="77777777" w:rsidTr="000E7DBA">
        <w:tc>
          <w:tcPr>
            <w:tcW w:w="1705" w:type="dxa"/>
          </w:tcPr>
          <w:p w14:paraId="7B8D41D8" w14:textId="7999AE23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</w:t>
            </w:r>
            <w:r w:rsidRPr="00F6500A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33396D38" w14:textId="505134DD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OCTAE awards the first 25% of the FY23 grant funds</w:t>
            </w:r>
          </w:p>
        </w:tc>
      </w:tr>
      <w:tr w:rsidR="00F6500A" w:rsidRPr="00F6500A" w14:paraId="3B099DAB" w14:textId="77777777" w:rsidTr="000E7DBA">
        <w:tc>
          <w:tcPr>
            <w:tcW w:w="1705" w:type="dxa"/>
          </w:tcPr>
          <w:p w14:paraId="15EE273F" w14:textId="77777777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</w:p>
        </w:tc>
        <w:tc>
          <w:tcPr>
            <w:tcW w:w="7865" w:type="dxa"/>
          </w:tcPr>
          <w:p w14:paraId="0991D79F" w14:textId="53CE409F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 xml:space="preserve">Obligation of FY23 funds begins </w:t>
            </w:r>
            <w:r w:rsidRPr="00F6500A">
              <w:rPr>
                <w:b/>
                <w:bCs/>
                <w:sz w:val="21"/>
                <w:szCs w:val="21"/>
              </w:rPr>
              <w:t>IF you have submitted</w:t>
            </w:r>
            <w:r w:rsidRPr="00F6500A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F6500A">
              <w:rPr>
                <w:b/>
                <w:bCs/>
                <w:sz w:val="21"/>
                <w:szCs w:val="21"/>
              </w:rPr>
              <w:t>a</w:t>
            </w:r>
            <w:r w:rsidRPr="00F6500A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F6500A">
              <w:rPr>
                <w:b/>
                <w:bCs/>
                <w:sz w:val="21"/>
                <w:szCs w:val="21"/>
              </w:rPr>
              <w:t>substantially</w:t>
            </w:r>
            <w:r w:rsidRPr="00F6500A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F6500A">
              <w:rPr>
                <w:b/>
                <w:bCs/>
                <w:sz w:val="21"/>
                <w:szCs w:val="21"/>
              </w:rPr>
              <w:t xml:space="preserve">approvable </w:t>
            </w:r>
            <w:r w:rsidRPr="00F6500A">
              <w:rPr>
                <w:b/>
                <w:bCs/>
                <w:spacing w:val="-2"/>
                <w:sz w:val="21"/>
                <w:szCs w:val="21"/>
              </w:rPr>
              <w:t>grant</w:t>
            </w:r>
          </w:p>
        </w:tc>
      </w:tr>
      <w:tr w:rsidR="00F6500A" w:rsidRPr="00F6500A" w14:paraId="42E7BC70" w14:textId="77777777" w:rsidTr="000E7DBA">
        <w:tc>
          <w:tcPr>
            <w:tcW w:w="1705" w:type="dxa"/>
          </w:tcPr>
          <w:p w14:paraId="186D8833" w14:textId="0504BDBB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30</w:t>
            </w:r>
            <w:r w:rsidRPr="00F6500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7AF277B8" w14:textId="21EF579F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ALL FY22 encumbered funds must be expended</w:t>
            </w:r>
          </w:p>
        </w:tc>
      </w:tr>
      <w:tr w:rsidR="00F6500A" w:rsidRPr="00F6500A" w14:paraId="3D44FBFE" w14:textId="77777777" w:rsidTr="000E7DBA">
        <w:tc>
          <w:tcPr>
            <w:tcW w:w="1705" w:type="dxa"/>
          </w:tcPr>
          <w:p w14:paraId="7DF1FE04" w14:textId="4BDAE4B6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1</w:t>
            </w:r>
            <w:r w:rsidRPr="00F6500A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4F34F26C" w14:textId="2784F648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OCTAE awards the remaining 75% of the FY23 grant funds</w:t>
            </w:r>
          </w:p>
        </w:tc>
      </w:tr>
      <w:tr w:rsidR="00AE7F1B" w:rsidRPr="00F6500A" w14:paraId="35E346BB" w14:textId="77777777" w:rsidTr="000E7DBA">
        <w:tc>
          <w:tcPr>
            <w:tcW w:w="1705" w:type="dxa"/>
            <w:shd w:val="clear" w:color="auto" w:fill="FFC000"/>
          </w:tcPr>
          <w:p w14:paraId="0C977E07" w14:textId="17528B9B" w:rsidR="00AE7F1B" w:rsidRDefault="00AE7F1B" w:rsidP="00DA7989">
            <w:pPr>
              <w:pStyle w:val="BodyText"/>
              <w:spacing w:before="11"/>
              <w:rPr>
                <w:sz w:val="21"/>
                <w:szCs w:val="21"/>
              </w:rPr>
            </w:pPr>
          </w:p>
        </w:tc>
        <w:tc>
          <w:tcPr>
            <w:tcW w:w="7865" w:type="dxa"/>
            <w:shd w:val="clear" w:color="auto" w:fill="FFC000"/>
          </w:tcPr>
          <w:p w14:paraId="2ACA81D3" w14:textId="4FD8364A" w:rsidR="00AE7F1B" w:rsidRPr="00F6500A" w:rsidRDefault="00AE7F1B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AE7F1B">
              <w:rPr>
                <w:sz w:val="21"/>
                <w:szCs w:val="21"/>
              </w:rPr>
              <w:t>Perkins 3S1 CTE Post-Secondary Placement</w:t>
            </w:r>
            <w:r>
              <w:rPr>
                <w:sz w:val="21"/>
                <w:szCs w:val="21"/>
              </w:rPr>
              <w:t xml:space="preserve"> NEO report open</w:t>
            </w:r>
            <w:r w:rsidR="00C05FD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for input.  </w:t>
            </w:r>
          </w:p>
        </w:tc>
      </w:tr>
      <w:tr w:rsidR="00F6500A" w:rsidRPr="00F6500A" w14:paraId="5554A6C8" w14:textId="77777777" w:rsidTr="000E7DBA">
        <w:tc>
          <w:tcPr>
            <w:tcW w:w="1705" w:type="dxa"/>
          </w:tcPr>
          <w:p w14:paraId="63D02A28" w14:textId="77777777" w:rsidR="00F6500A" w:rsidRPr="00F6500A" w:rsidRDefault="00F6500A" w:rsidP="00DA7989">
            <w:pPr>
              <w:pStyle w:val="BodyText"/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7865" w:type="dxa"/>
          </w:tcPr>
          <w:p w14:paraId="1A840230" w14:textId="6F8A1DAB" w:rsidR="00F6500A" w:rsidRPr="00F6500A" w:rsidRDefault="00F6500A" w:rsidP="00DA7989">
            <w:pPr>
              <w:pStyle w:val="BodyText"/>
              <w:spacing w:line="252" w:lineRule="auto"/>
              <w:rPr>
                <w:b/>
                <w:bCs/>
                <w:sz w:val="21"/>
                <w:szCs w:val="21"/>
              </w:rPr>
            </w:pPr>
            <w:r w:rsidRPr="00F6500A">
              <w:rPr>
                <w:b/>
                <w:bCs/>
                <w:sz w:val="21"/>
                <w:szCs w:val="21"/>
              </w:rPr>
              <w:t>Note – FY23 Reimbursement will not begin until your FY23 grant (which includes your FY22 year-end reports) has been submitted and fully approved.  As always, once your FY23 grant is approved you may only request up to 25% of  your grant award prior to September 30</w:t>
            </w:r>
            <w:r w:rsidRPr="00F6500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F6500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F6500A" w:rsidRPr="00F6500A" w14:paraId="2C0F831F" w14:textId="77777777" w:rsidTr="000E7DBA">
        <w:tc>
          <w:tcPr>
            <w:tcW w:w="1705" w:type="dxa"/>
          </w:tcPr>
          <w:p w14:paraId="62F14625" w14:textId="5C69C662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30</w:t>
            </w:r>
            <w:r w:rsidRPr="00F6500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2B8F1B1A" w14:textId="1A423F5F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ALL FY22 reimbursement requests must be submitted in the Grants4ME system</w:t>
            </w:r>
          </w:p>
        </w:tc>
      </w:tr>
      <w:tr w:rsidR="00F6500A" w:rsidRPr="00F6500A" w14:paraId="5092877B" w14:textId="77777777" w:rsidTr="000E7DBA">
        <w:tc>
          <w:tcPr>
            <w:tcW w:w="1705" w:type="dxa"/>
          </w:tcPr>
          <w:p w14:paraId="3AB41B4A" w14:textId="6F2B99C7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31</w:t>
            </w:r>
            <w:r w:rsidRPr="00F6500A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865" w:type="dxa"/>
          </w:tcPr>
          <w:p w14:paraId="6A260B75" w14:textId="754C61FB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sz w:val="21"/>
                <w:szCs w:val="21"/>
              </w:rPr>
              <w:t>Anticipated due date for the FER (final expenditure report)</w:t>
            </w:r>
          </w:p>
        </w:tc>
      </w:tr>
      <w:tr w:rsidR="00F6500A" w:rsidRPr="00F6500A" w14:paraId="45497D51" w14:textId="77777777" w:rsidTr="000E7DBA">
        <w:tc>
          <w:tcPr>
            <w:tcW w:w="1705" w:type="dxa"/>
          </w:tcPr>
          <w:p w14:paraId="3371D73F" w14:textId="77777777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</w:p>
        </w:tc>
        <w:tc>
          <w:tcPr>
            <w:tcW w:w="7865" w:type="dxa"/>
          </w:tcPr>
          <w:p w14:paraId="20645CD1" w14:textId="0E57D5E5" w:rsidR="00F6500A" w:rsidRPr="00F6500A" w:rsidRDefault="00F6500A" w:rsidP="00DA7989">
            <w:pPr>
              <w:pStyle w:val="BodyText"/>
              <w:spacing w:before="11"/>
              <w:rPr>
                <w:sz w:val="21"/>
                <w:szCs w:val="21"/>
              </w:rPr>
            </w:pPr>
            <w:r w:rsidRPr="00F6500A">
              <w:rPr>
                <w:b/>
                <w:bCs/>
                <w:sz w:val="21"/>
                <w:szCs w:val="21"/>
                <w:u w:val="single"/>
              </w:rPr>
              <w:t>Note – FY22 FER (Final Expenditure Report)</w:t>
            </w:r>
            <w:r w:rsidRPr="00F6500A">
              <w:rPr>
                <w:sz w:val="21"/>
                <w:szCs w:val="21"/>
              </w:rPr>
              <w:t xml:space="preserve"> will be started and changed to FER Draft Completed by your fiscal representative.</w:t>
            </w:r>
            <w:r w:rsidRPr="00F6500A">
              <w:rPr>
                <w:sz w:val="21"/>
                <w:szCs w:val="21"/>
              </w:rPr>
              <w:tab/>
              <w:t xml:space="preserve">Once the fiscal representative has changed the status to FER Completed, Directors will be required to approve before report will be submitted to DOE. </w:t>
            </w:r>
          </w:p>
        </w:tc>
      </w:tr>
    </w:tbl>
    <w:p w14:paraId="06777B48" w14:textId="77777777" w:rsidR="00D83AAE" w:rsidRPr="007A45F4" w:rsidRDefault="00612600" w:rsidP="00D83AAE">
      <w:pPr>
        <w:pStyle w:val="BodyText"/>
        <w:spacing w:before="11"/>
        <w:rPr>
          <w:sz w:val="21"/>
          <w:szCs w:val="21"/>
        </w:rPr>
      </w:pPr>
      <w:r w:rsidRPr="007A45F4">
        <w:rPr>
          <w:sz w:val="21"/>
          <w:szCs w:val="21"/>
        </w:rPr>
        <w:tab/>
      </w:r>
    </w:p>
    <w:p w14:paraId="7DDEE40A" w14:textId="30C12E35" w:rsidR="00460D22" w:rsidRPr="007A45F4" w:rsidRDefault="00D83AAE" w:rsidP="00D83AAE">
      <w:pPr>
        <w:pStyle w:val="BodyText"/>
        <w:spacing w:before="11"/>
        <w:rPr>
          <w:sz w:val="21"/>
          <w:szCs w:val="21"/>
        </w:rPr>
      </w:pPr>
      <w:r w:rsidRPr="007A45F4">
        <w:rPr>
          <w:sz w:val="21"/>
          <w:szCs w:val="21"/>
        </w:rPr>
        <w:tab/>
      </w:r>
      <w:r w:rsidR="00F6500A" w:rsidRPr="007A45F4">
        <w:rPr>
          <w:sz w:val="21"/>
          <w:szCs w:val="21"/>
          <w:u w:val="single"/>
        </w:rPr>
        <w:t>Additional</w:t>
      </w:r>
      <w:r w:rsidR="00F6500A" w:rsidRPr="007A45F4">
        <w:rPr>
          <w:spacing w:val="-6"/>
          <w:sz w:val="21"/>
          <w:szCs w:val="21"/>
          <w:u w:val="single"/>
        </w:rPr>
        <w:t xml:space="preserve"> </w:t>
      </w:r>
      <w:r w:rsidR="00F6500A" w:rsidRPr="007A45F4">
        <w:rPr>
          <w:spacing w:val="-2"/>
          <w:sz w:val="21"/>
          <w:szCs w:val="21"/>
          <w:u w:val="single"/>
        </w:rPr>
        <w:t>Information</w:t>
      </w:r>
    </w:p>
    <w:p w14:paraId="04F80818" w14:textId="77777777" w:rsidR="00D83AAE" w:rsidRPr="007A45F4" w:rsidRDefault="00D83AAE" w:rsidP="007A45F4">
      <w:pPr>
        <w:pStyle w:val="ListParagraph"/>
        <w:numPr>
          <w:ilvl w:val="0"/>
          <w:numId w:val="1"/>
        </w:numPr>
        <w:ind w:left="1440" w:right="99" w:hanging="360"/>
        <w:rPr>
          <w:sz w:val="21"/>
          <w:szCs w:val="21"/>
        </w:rPr>
      </w:pPr>
      <w:r w:rsidRPr="007A45F4">
        <w:rPr>
          <w:sz w:val="21"/>
          <w:szCs w:val="21"/>
        </w:rPr>
        <w:t>Your FY23 grant application budgeted activities must align with your CLNA that is due April 25</w:t>
      </w:r>
      <w:r w:rsidRPr="007A45F4">
        <w:rPr>
          <w:sz w:val="21"/>
          <w:szCs w:val="21"/>
          <w:vertAlign w:val="superscript"/>
        </w:rPr>
        <w:t>th</w:t>
      </w:r>
      <w:r w:rsidRPr="007A45F4">
        <w:rPr>
          <w:sz w:val="21"/>
          <w:szCs w:val="21"/>
        </w:rPr>
        <w:t xml:space="preserve">. </w:t>
      </w:r>
    </w:p>
    <w:p w14:paraId="7DDEE40B" w14:textId="21691340" w:rsidR="00460D22" w:rsidRPr="007A45F4" w:rsidRDefault="00D83AAE" w:rsidP="007A45F4">
      <w:pPr>
        <w:pStyle w:val="ListParagraph"/>
        <w:numPr>
          <w:ilvl w:val="0"/>
          <w:numId w:val="1"/>
        </w:numPr>
        <w:ind w:left="1440" w:right="99" w:hanging="360"/>
        <w:rPr>
          <w:sz w:val="21"/>
          <w:szCs w:val="21"/>
        </w:rPr>
      </w:pPr>
      <w:r w:rsidRPr="007A45F4">
        <w:rPr>
          <w:sz w:val="21"/>
          <w:szCs w:val="21"/>
        </w:rPr>
        <w:t>O</w:t>
      </w:r>
      <w:r w:rsidR="00F6500A" w:rsidRPr="007A45F4">
        <w:rPr>
          <w:sz w:val="21"/>
          <w:szCs w:val="21"/>
        </w:rPr>
        <w:t xml:space="preserve">ngoing stakeholder engagement is required </w:t>
      </w:r>
      <w:r w:rsidRPr="007A45F4">
        <w:rPr>
          <w:sz w:val="21"/>
          <w:szCs w:val="21"/>
        </w:rPr>
        <w:t xml:space="preserve">as noted in the Perkins Act, </w:t>
      </w:r>
      <w:r w:rsidR="00F6500A" w:rsidRPr="007A45F4">
        <w:rPr>
          <w:sz w:val="21"/>
          <w:szCs w:val="21"/>
        </w:rPr>
        <w:t>so you will indicated your process for doing th</w:t>
      </w:r>
      <w:r w:rsidRPr="007A45F4">
        <w:rPr>
          <w:sz w:val="21"/>
          <w:szCs w:val="21"/>
        </w:rPr>
        <w:t>is</w:t>
      </w:r>
      <w:r w:rsidR="00F6500A" w:rsidRPr="007A45F4">
        <w:rPr>
          <w:sz w:val="21"/>
          <w:szCs w:val="21"/>
        </w:rPr>
        <w:t xml:space="preserve"> within your</w:t>
      </w:r>
      <w:r w:rsidRPr="007A45F4">
        <w:rPr>
          <w:sz w:val="21"/>
          <w:szCs w:val="21"/>
        </w:rPr>
        <w:t xml:space="preserve"> application</w:t>
      </w:r>
      <w:r w:rsidR="00F6500A" w:rsidRPr="007A45F4">
        <w:rPr>
          <w:sz w:val="21"/>
          <w:szCs w:val="21"/>
        </w:rPr>
        <w:t xml:space="preserve"> Collaboration </w:t>
      </w:r>
      <w:r w:rsidR="00F6500A" w:rsidRPr="007A45F4">
        <w:rPr>
          <w:spacing w:val="-2"/>
          <w:sz w:val="21"/>
          <w:szCs w:val="21"/>
        </w:rPr>
        <w:t>section.</w:t>
      </w:r>
    </w:p>
    <w:p w14:paraId="7DDEE410" w14:textId="727CADAE" w:rsidR="00460D22" w:rsidRPr="00A555DA" w:rsidRDefault="00F6500A" w:rsidP="007A45F4">
      <w:pPr>
        <w:pStyle w:val="ListParagraph"/>
        <w:numPr>
          <w:ilvl w:val="0"/>
          <w:numId w:val="1"/>
        </w:numPr>
        <w:spacing w:before="39"/>
        <w:ind w:left="1440" w:right="201"/>
        <w:rPr>
          <w:b/>
          <w:bCs/>
          <w:sz w:val="21"/>
          <w:szCs w:val="21"/>
        </w:rPr>
      </w:pPr>
      <w:r w:rsidRPr="007A45F4">
        <w:rPr>
          <w:sz w:val="21"/>
          <w:szCs w:val="21"/>
        </w:rPr>
        <w:t>When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budgeting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be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sure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to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assign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the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appropriate</w:t>
      </w:r>
      <w:r w:rsidRPr="007A45F4">
        <w:rPr>
          <w:spacing w:val="-4"/>
          <w:sz w:val="21"/>
          <w:szCs w:val="21"/>
        </w:rPr>
        <w:t xml:space="preserve"> </w:t>
      </w:r>
      <w:r w:rsidR="00A555DA">
        <w:rPr>
          <w:spacing w:val="-4"/>
          <w:sz w:val="21"/>
          <w:szCs w:val="21"/>
        </w:rPr>
        <w:t xml:space="preserve">object and </w:t>
      </w:r>
      <w:r w:rsidRPr="007A45F4">
        <w:rPr>
          <w:sz w:val="21"/>
          <w:szCs w:val="21"/>
        </w:rPr>
        <w:t>function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code</w:t>
      </w:r>
      <w:r w:rsidR="00A555DA">
        <w:rPr>
          <w:sz w:val="21"/>
          <w:szCs w:val="21"/>
        </w:rPr>
        <w:t>s</w:t>
      </w:r>
      <w:r w:rsidRPr="007A45F4">
        <w:rPr>
          <w:sz w:val="21"/>
          <w:szCs w:val="21"/>
        </w:rPr>
        <w:t>,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see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table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below.</w:t>
      </w:r>
      <w:r w:rsidRPr="007A45F4">
        <w:rPr>
          <w:spacing w:val="40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You should work with your business managers to ensure the correct coding is used</w:t>
      </w:r>
      <w:r w:rsidR="00D83AAE" w:rsidRPr="00A555DA">
        <w:rPr>
          <w:b/>
          <w:bCs/>
          <w:sz w:val="21"/>
          <w:szCs w:val="21"/>
        </w:rPr>
        <w:t>.</w:t>
      </w:r>
    </w:p>
    <w:p w14:paraId="7DDEE411" w14:textId="23FE6D5A" w:rsidR="00460D22" w:rsidRPr="007A45F4" w:rsidRDefault="00F6500A" w:rsidP="007A45F4">
      <w:pPr>
        <w:pStyle w:val="ListParagraph"/>
        <w:numPr>
          <w:ilvl w:val="0"/>
          <w:numId w:val="1"/>
        </w:numPr>
        <w:spacing w:before="1"/>
        <w:ind w:left="1440" w:right="150" w:hanging="360"/>
        <w:rPr>
          <w:sz w:val="21"/>
          <w:szCs w:val="21"/>
        </w:rPr>
      </w:pPr>
      <w:r w:rsidRPr="00A555DA">
        <w:rPr>
          <w:b/>
          <w:bCs/>
          <w:sz w:val="21"/>
          <w:szCs w:val="21"/>
        </w:rPr>
        <w:t>Equipment</w:t>
      </w:r>
      <w:r w:rsidRPr="00A555DA">
        <w:rPr>
          <w:b/>
          <w:bCs/>
          <w:spacing w:val="-4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7300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–</w:t>
      </w:r>
      <w:r w:rsidRPr="00A555DA">
        <w:rPr>
          <w:b/>
          <w:bCs/>
          <w:spacing w:val="-4"/>
          <w:sz w:val="21"/>
          <w:szCs w:val="21"/>
        </w:rPr>
        <w:t xml:space="preserve"> </w:t>
      </w:r>
      <w:r w:rsidR="00D83AAE" w:rsidRPr="00A555DA">
        <w:rPr>
          <w:b/>
          <w:bCs/>
          <w:spacing w:val="-4"/>
          <w:sz w:val="21"/>
          <w:szCs w:val="21"/>
        </w:rPr>
        <w:t>is only to</w:t>
      </w:r>
      <w:r w:rsidRPr="00A555DA">
        <w:rPr>
          <w:b/>
          <w:bCs/>
          <w:spacing w:val="-1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be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used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for</w:t>
      </w:r>
      <w:r w:rsidRPr="00A555DA">
        <w:rPr>
          <w:b/>
          <w:bCs/>
          <w:spacing w:val="-2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items</w:t>
      </w:r>
      <w:r w:rsidRPr="00A555DA">
        <w:rPr>
          <w:b/>
          <w:bCs/>
          <w:spacing w:val="-4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valuing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$5,000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and</w:t>
      </w:r>
      <w:r w:rsidRPr="00A555DA">
        <w:rPr>
          <w:b/>
          <w:bCs/>
          <w:spacing w:val="-5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above</w:t>
      </w:r>
      <w:r w:rsidRPr="007A45F4">
        <w:rPr>
          <w:sz w:val="21"/>
          <w:szCs w:val="21"/>
        </w:rPr>
        <w:t>. These are the items that will be required to be tagged.</w:t>
      </w:r>
      <w:r w:rsidRPr="007A45F4">
        <w:rPr>
          <w:spacing w:val="40"/>
          <w:sz w:val="21"/>
          <w:szCs w:val="21"/>
        </w:rPr>
        <w:t xml:space="preserve"> </w:t>
      </w:r>
      <w:r w:rsidRPr="007A45F4">
        <w:rPr>
          <w:sz w:val="21"/>
          <w:szCs w:val="21"/>
        </w:rPr>
        <w:t>Equipment items less than that amount will not require a tag, but will need to be tracked in an inventory system as a Perkins expenditure and will need to be used in the program for which they were purchased.</w:t>
      </w:r>
      <w:r w:rsidRPr="007A45F4">
        <w:rPr>
          <w:spacing w:val="40"/>
          <w:sz w:val="21"/>
          <w:szCs w:val="21"/>
        </w:rPr>
        <w:t xml:space="preserve"> </w:t>
      </w:r>
      <w:r w:rsidRPr="007A45F4">
        <w:rPr>
          <w:sz w:val="21"/>
          <w:szCs w:val="21"/>
        </w:rPr>
        <w:t>Perkins monitoring will continue to look at both equipment and minor equipment purchases.</w:t>
      </w:r>
    </w:p>
    <w:p w14:paraId="66B0D745" w14:textId="77777777" w:rsidR="00D83AAE" w:rsidRPr="007A45F4" w:rsidRDefault="00F6500A" w:rsidP="007A45F4">
      <w:pPr>
        <w:pStyle w:val="ListParagraph"/>
        <w:numPr>
          <w:ilvl w:val="0"/>
          <w:numId w:val="1"/>
        </w:numPr>
        <w:tabs>
          <w:tab w:val="left" w:pos="2250"/>
        </w:tabs>
        <w:spacing w:before="10"/>
        <w:ind w:left="1440" w:right="201" w:hanging="360"/>
        <w:rPr>
          <w:sz w:val="21"/>
          <w:szCs w:val="21"/>
        </w:rPr>
      </w:pPr>
      <w:r w:rsidRPr="007A45F4">
        <w:rPr>
          <w:sz w:val="21"/>
          <w:szCs w:val="21"/>
        </w:rPr>
        <w:t>It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is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important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that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you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use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the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chart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below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to</w:t>
      </w:r>
      <w:r w:rsidRPr="007A45F4">
        <w:rPr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determine</w:t>
      </w:r>
      <w:r w:rsidRPr="00A555DA">
        <w:rPr>
          <w:b/>
          <w:bCs/>
          <w:spacing w:val="-1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if</w:t>
      </w:r>
      <w:r w:rsidRPr="00A555DA">
        <w:rPr>
          <w:b/>
          <w:bCs/>
          <w:spacing w:val="-2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an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item</w:t>
      </w:r>
      <w:r w:rsidRPr="00A555DA">
        <w:rPr>
          <w:b/>
          <w:bCs/>
          <w:spacing w:val="-3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is</w:t>
      </w:r>
      <w:r w:rsidRPr="00A555DA">
        <w:rPr>
          <w:b/>
          <w:bCs/>
          <w:spacing w:val="-2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equipment</w:t>
      </w:r>
      <w:r w:rsidRPr="00A555DA">
        <w:rPr>
          <w:b/>
          <w:bCs/>
          <w:spacing w:val="-4"/>
          <w:sz w:val="21"/>
          <w:szCs w:val="21"/>
        </w:rPr>
        <w:t xml:space="preserve"> </w:t>
      </w:r>
      <w:r w:rsidRPr="00A555DA">
        <w:rPr>
          <w:b/>
          <w:bCs/>
          <w:sz w:val="21"/>
          <w:szCs w:val="21"/>
        </w:rPr>
        <w:t>or supplies</w:t>
      </w:r>
      <w:r w:rsidRPr="007A45F4">
        <w:rPr>
          <w:sz w:val="21"/>
          <w:szCs w:val="21"/>
        </w:rPr>
        <w:t>.</w:t>
      </w:r>
      <w:r w:rsidRPr="007A45F4">
        <w:rPr>
          <w:spacing w:val="40"/>
          <w:sz w:val="21"/>
          <w:szCs w:val="21"/>
        </w:rPr>
        <w:t xml:space="preserve"> </w:t>
      </w:r>
      <w:r w:rsidRPr="007A45F4">
        <w:rPr>
          <w:sz w:val="21"/>
          <w:szCs w:val="21"/>
        </w:rPr>
        <w:t xml:space="preserve">Supplies still need to be tracked to program and used for the approved activities, but does not have to be tracked as thoroughly as equipment and minor </w:t>
      </w:r>
      <w:r w:rsidRPr="007A45F4">
        <w:rPr>
          <w:spacing w:val="-2"/>
          <w:sz w:val="21"/>
          <w:szCs w:val="21"/>
        </w:rPr>
        <w:t>equipment.</w:t>
      </w:r>
    </w:p>
    <w:p w14:paraId="7DDEE414" w14:textId="15C53B5E" w:rsidR="00460D22" w:rsidRPr="007A45F4" w:rsidRDefault="00F6500A" w:rsidP="007A45F4">
      <w:pPr>
        <w:pStyle w:val="ListParagraph"/>
        <w:numPr>
          <w:ilvl w:val="0"/>
          <w:numId w:val="1"/>
        </w:numPr>
        <w:tabs>
          <w:tab w:val="left" w:pos="2250"/>
        </w:tabs>
        <w:spacing w:before="10"/>
        <w:ind w:left="1440" w:right="201" w:hanging="360"/>
        <w:rPr>
          <w:sz w:val="21"/>
          <w:szCs w:val="21"/>
        </w:rPr>
      </w:pPr>
      <w:r w:rsidRPr="007A45F4">
        <w:rPr>
          <w:sz w:val="21"/>
          <w:szCs w:val="21"/>
        </w:rPr>
        <w:t>For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CTE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6150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is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a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special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supply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code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for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minor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equipment.</w:t>
      </w:r>
      <w:r w:rsidRPr="007A45F4">
        <w:rPr>
          <w:spacing w:val="40"/>
          <w:sz w:val="21"/>
          <w:szCs w:val="21"/>
        </w:rPr>
        <w:t xml:space="preserve"> </w:t>
      </w:r>
      <w:r w:rsidRPr="007A45F4">
        <w:rPr>
          <w:sz w:val="21"/>
          <w:szCs w:val="21"/>
        </w:rPr>
        <w:t>This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is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for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walkable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items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of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value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that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will last more than a year and must be tracked, but do not meet the $5,000 threshold.</w:t>
      </w:r>
      <w:r w:rsidRPr="007A45F4">
        <w:rPr>
          <w:spacing w:val="40"/>
          <w:sz w:val="21"/>
          <w:szCs w:val="21"/>
        </w:rPr>
        <w:t xml:space="preserve"> </w:t>
      </w:r>
      <w:r w:rsidRPr="007A45F4">
        <w:rPr>
          <w:sz w:val="21"/>
          <w:szCs w:val="21"/>
        </w:rPr>
        <w:t>(laptops, cameras, electric or battery hand tools, etc.)</w:t>
      </w:r>
    </w:p>
    <w:p w14:paraId="0C69BFF6" w14:textId="077957E5" w:rsidR="007A45F4" w:rsidRDefault="007A45F4" w:rsidP="007A45F4">
      <w:pPr>
        <w:pStyle w:val="BodyText"/>
        <w:numPr>
          <w:ilvl w:val="0"/>
          <w:numId w:val="1"/>
        </w:numPr>
        <w:ind w:left="1440" w:right="201"/>
        <w:rPr>
          <w:sz w:val="21"/>
          <w:szCs w:val="21"/>
        </w:rPr>
      </w:pPr>
      <w:r w:rsidRPr="007A45F4">
        <w:rPr>
          <w:sz w:val="21"/>
          <w:szCs w:val="21"/>
        </w:rPr>
        <w:t>Grant approval workflow – Director changes status to Draft Completed – Fiscal Representative approves – Superintendent (or Region Director) approves – DOE CTE approves</w:t>
      </w:r>
    </w:p>
    <w:p w14:paraId="508D093A" w14:textId="77777777" w:rsidR="00A555DA" w:rsidRPr="007A45F4" w:rsidRDefault="00A555DA" w:rsidP="00A555DA">
      <w:pPr>
        <w:pStyle w:val="BodyText"/>
        <w:numPr>
          <w:ilvl w:val="0"/>
          <w:numId w:val="1"/>
        </w:numPr>
        <w:ind w:left="1440" w:right="201"/>
        <w:rPr>
          <w:sz w:val="21"/>
          <w:szCs w:val="21"/>
        </w:rPr>
      </w:pPr>
      <w:r w:rsidRPr="007A45F4">
        <w:rPr>
          <w:sz w:val="21"/>
          <w:szCs w:val="21"/>
        </w:rPr>
        <w:t>Additional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Perkins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information,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including</w:t>
      </w:r>
      <w:r w:rsidRPr="007A45F4">
        <w:rPr>
          <w:spacing w:val="-3"/>
          <w:sz w:val="21"/>
          <w:szCs w:val="21"/>
        </w:rPr>
        <w:t xml:space="preserve"> </w:t>
      </w:r>
      <w:r w:rsidRPr="007A45F4">
        <w:rPr>
          <w:sz w:val="21"/>
          <w:szCs w:val="21"/>
        </w:rPr>
        <w:t>secondary</w:t>
      </w:r>
      <w:r w:rsidRPr="007A45F4">
        <w:rPr>
          <w:spacing w:val="-1"/>
          <w:sz w:val="21"/>
          <w:szCs w:val="21"/>
        </w:rPr>
        <w:t xml:space="preserve"> </w:t>
      </w:r>
      <w:r w:rsidRPr="007A45F4">
        <w:rPr>
          <w:sz w:val="21"/>
          <w:szCs w:val="21"/>
        </w:rPr>
        <w:t>formula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data</w:t>
      </w:r>
      <w:r w:rsidRPr="007A45F4">
        <w:rPr>
          <w:spacing w:val="-5"/>
          <w:sz w:val="21"/>
          <w:szCs w:val="21"/>
        </w:rPr>
        <w:t xml:space="preserve"> </w:t>
      </w:r>
      <w:r w:rsidRPr="007A45F4">
        <w:rPr>
          <w:sz w:val="21"/>
          <w:szCs w:val="21"/>
        </w:rPr>
        <w:t>for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FY19,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FY20,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FY21,</w:t>
      </w:r>
      <w:r w:rsidRPr="007A45F4">
        <w:rPr>
          <w:spacing w:val="-4"/>
          <w:sz w:val="21"/>
          <w:szCs w:val="21"/>
        </w:rPr>
        <w:t xml:space="preserve"> </w:t>
      </w:r>
      <w:r w:rsidRPr="007A45F4">
        <w:rPr>
          <w:sz w:val="21"/>
          <w:szCs w:val="21"/>
        </w:rPr>
        <w:t>FY22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and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FY23</w:t>
      </w:r>
      <w:r w:rsidRPr="007A45F4">
        <w:rPr>
          <w:spacing w:val="-2"/>
          <w:sz w:val="21"/>
          <w:szCs w:val="21"/>
        </w:rPr>
        <w:t xml:space="preserve"> </w:t>
      </w:r>
      <w:r w:rsidRPr="007A45F4">
        <w:rPr>
          <w:sz w:val="21"/>
          <w:szCs w:val="21"/>
        </w:rPr>
        <w:t>is on our websi</w:t>
      </w:r>
      <w:hyperlink r:id="rId5">
        <w:r w:rsidRPr="007A45F4">
          <w:rPr>
            <w:sz w:val="21"/>
            <w:szCs w:val="21"/>
          </w:rPr>
          <w:t>te.</w:t>
        </w:r>
        <w:r w:rsidRPr="007A45F4">
          <w:rPr>
            <w:spacing w:val="80"/>
            <w:sz w:val="21"/>
            <w:szCs w:val="21"/>
          </w:rPr>
          <w:t xml:space="preserve"> </w:t>
        </w:r>
        <w:r w:rsidRPr="007A45F4">
          <w:rPr>
            <w:color w:val="0000FF"/>
            <w:sz w:val="21"/>
            <w:szCs w:val="21"/>
            <w:u w:val="single" w:color="0000FF"/>
          </w:rPr>
          <w:t>https://www.maine.gov/doe/learning/cte/perki</w:t>
        </w:r>
      </w:hyperlink>
      <w:r w:rsidRPr="007A45F4">
        <w:rPr>
          <w:color w:val="0000FF"/>
          <w:sz w:val="21"/>
          <w:szCs w:val="21"/>
          <w:u w:val="single" w:color="0000FF"/>
        </w:rPr>
        <w:t>nsv</w:t>
      </w:r>
    </w:p>
    <w:p w14:paraId="552D93D4" w14:textId="77777777" w:rsidR="00A555DA" w:rsidRPr="007A45F4" w:rsidRDefault="00A555DA" w:rsidP="00A555DA">
      <w:pPr>
        <w:pStyle w:val="BodyText"/>
        <w:ind w:left="1440" w:right="201"/>
        <w:rPr>
          <w:sz w:val="21"/>
          <w:szCs w:val="21"/>
        </w:rPr>
      </w:pPr>
    </w:p>
    <w:p w14:paraId="4A833028" w14:textId="1A9FBB1A" w:rsidR="007A45F4" w:rsidRDefault="007A45F4" w:rsidP="007A45F4">
      <w:pPr>
        <w:pStyle w:val="ListParagraph"/>
        <w:tabs>
          <w:tab w:val="left" w:pos="2250"/>
        </w:tabs>
        <w:spacing w:before="10"/>
        <w:ind w:left="1620" w:right="201" w:firstLine="0"/>
      </w:pPr>
    </w:p>
    <w:p w14:paraId="7CD99674" w14:textId="77777777" w:rsidR="007A45F4" w:rsidRDefault="007A45F4" w:rsidP="007A45F4">
      <w:pPr>
        <w:pStyle w:val="ListParagraph"/>
        <w:tabs>
          <w:tab w:val="left" w:pos="2250"/>
        </w:tabs>
        <w:spacing w:before="10"/>
        <w:ind w:left="1620" w:right="201" w:firstLine="0"/>
      </w:pPr>
    </w:p>
    <w:p w14:paraId="7DDEE415" w14:textId="3B0755DA" w:rsidR="00460D22" w:rsidRDefault="007A45F4" w:rsidP="00D83AAE">
      <w:pPr>
        <w:pStyle w:val="BodyText"/>
        <w:ind w:left="1620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DDEE41A" wp14:editId="63ADB904">
            <wp:simplePos x="0" y="0"/>
            <wp:positionH relativeFrom="page">
              <wp:posOffset>784860</wp:posOffset>
            </wp:positionH>
            <wp:positionV relativeFrom="paragraph">
              <wp:posOffset>284480</wp:posOffset>
            </wp:positionV>
            <wp:extent cx="6024245" cy="45186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EE416" w14:textId="355C7FA4" w:rsidR="00460D22" w:rsidRDefault="00460D22">
      <w:pPr>
        <w:pStyle w:val="BodyText"/>
        <w:rPr>
          <w:sz w:val="20"/>
        </w:rPr>
      </w:pPr>
    </w:p>
    <w:p w14:paraId="7DDEE417" w14:textId="1550853E" w:rsidR="00460D22" w:rsidRDefault="00460D22">
      <w:pPr>
        <w:pStyle w:val="BodyText"/>
        <w:rPr>
          <w:sz w:val="20"/>
        </w:rPr>
      </w:pPr>
    </w:p>
    <w:p w14:paraId="7DDEE418" w14:textId="3FA8BF22" w:rsidR="00460D22" w:rsidRDefault="00460D22">
      <w:pPr>
        <w:pStyle w:val="BodyText"/>
        <w:rPr>
          <w:sz w:val="20"/>
        </w:rPr>
      </w:pPr>
    </w:p>
    <w:p w14:paraId="7DDEE419" w14:textId="4D144A5A" w:rsidR="00460D22" w:rsidRDefault="007A45F4">
      <w:pPr>
        <w:pStyle w:val="BodyText"/>
        <w:spacing w:before="3"/>
        <w:rPr>
          <w:sz w:val="21"/>
        </w:rPr>
      </w:pPr>
      <w:r w:rsidRPr="007A45F4">
        <w:rPr>
          <w:noProof/>
        </w:rPr>
        <w:drawing>
          <wp:anchor distT="0" distB="0" distL="114300" distR="114300" simplePos="0" relativeHeight="251659264" behindDoc="0" locked="0" layoutInCell="1" allowOverlap="1" wp14:anchorId="28FF0C31" wp14:editId="5A02A063">
            <wp:simplePos x="0" y="0"/>
            <wp:positionH relativeFrom="column">
              <wp:posOffset>-388620</wp:posOffset>
            </wp:positionH>
            <wp:positionV relativeFrom="paragraph">
              <wp:posOffset>522605</wp:posOffset>
            </wp:positionV>
            <wp:extent cx="6858635" cy="30937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0D22" w:rsidSect="007A45F4">
      <w:pgSz w:w="12240" w:h="15840"/>
      <w:pgMar w:top="9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A0B07"/>
    <w:multiLevelType w:val="hybridMultilevel"/>
    <w:tmpl w:val="9BF0DA50"/>
    <w:lvl w:ilvl="0" w:tplc="AF3031B2">
      <w:numFmt w:val="bullet"/>
      <w:lvlText w:val=""/>
      <w:lvlJc w:val="left"/>
      <w:pPr>
        <w:ind w:left="154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E6AFC0A">
      <w:numFmt w:val="bullet"/>
      <w:lvlText w:val="•"/>
      <w:lvlJc w:val="left"/>
      <w:pPr>
        <w:ind w:left="2344" w:hanging="361"/>
      </w:pPr>
      <w:rPr>
        <w:rFonts w:hint="default"/>
      </w:rPr>
    </w:lvl>
    <w:lvl w:ilvl="2" w:tplc="C97E6CDE">
      <w:numFmt w:val="bullet"/>
      <w:lvlText w:val="•"/>
      <w:lvlJc w:val="left"/>
      <w:pPr>
        <w:ind w:left="3148" w:hanging="361"/>
      </w:pPr>
      <w:rPr>
        <w:rFonts w:hint="default"/>
      </w:rPr>
    </w:lvl>
    <w:lvl w:ilvl="3" w:tplc="12466AA2"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33BE5CD0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1F880BCA"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9B0808BA"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317E2ECA"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5B880856">
      <w:numFmt w:val="bullet"/>
      <w:lvlText w:val="•"/>
      <w:lvlJc w:val="left"/>
      <w:pPr>
        <w:ind w:left="79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22"/>
    <w:rsid w:val="000E7DBA"/>
    <w:rsid w:val="001D3D85"/>
    <w:rsid w:val="00460D22"/>
    <w:rsid w:val="00612600"/>
    <w:rsid w:val="007A45F4"/>
    <w:rsid w:val="00A555DA"/>
    <w:rsid w:val="00AE7F1B"/>
    <w:rsid w:val="00C05FD5"/>
    <w:rsid w:val="00C469EA"/>
    <w:rsid w:val="00CB2CE9"/>
    <w:rsid w:val="00D83AAE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3F2"/>
  <w15:docId w15:val="{D02C2A5B-7AAB-4A15-B74A-593EAD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ine.gov/doe/learning/cte/perkin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Lagasse, Shawn</dc:creator>
  <cp:lastModifiedBy>Tiner, Donna</cp:lastModifiedBy>
  <cp:revision>2</cp:revision>
  <dcterms:created xsi:type="dcterms:W3CDTF">2022-04-05T17:06:00Z</dcterms:created>
  <dcterms:modified xsi:type="dcterms:W3CDTF">2022-04-05T17:06:00Z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2022-04-04T00:00:00Z</vt:filetime>
  </property>
</Properties>
</file>